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8_Skinboost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Skinboost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Skinbooster facial injetável com ácido hialurônico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Skinbooster é uma denominação de tratamento, não a identificação de um produto único. Neste documento, a proposta é o uso facial de uma formulação injetável de ácido hialurônico regularizada para a finalidade planejada, com objetivo de melhorar aspectos como hidratação, textura e linhas finas. Não inclui misturas de vitaminas, polinucleotídeos, enzimas, PDLLA, exossomos ou outros materiais.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A pele contém vasos, nervos e anexos e se relaciona com camadas de gordura e músculos. A espessura varia entre áreas. Aplicações superficiais podem causar pápulas, irregularidades ou transparência do produto; aplicações em quantidade pequena também podem comprometer vasos. A finalidade de hidratar não elimina os riscos de um procedimento injetável.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Pode ser considerado para determinadas alterações de qualidade de pele em adulto, conforme o produto e as áreas previstas em suas instruções. A apresentação deve ser identificada, incluindo componentes e presença de anestésico. Produto autorizado apenas como cosmético tópico não pode ser considerado injetável por conter ácido hialurônico ou ter embalagem estéril.</w:t>
      </w:r>
    </w:p>
    <w:p>
      <w:r>
        <w:rPr>
          <w:sz w:val="24"/>
        </w:rPr>
        <w:t>Não substitui hidratante e proteção solar, não corrige grande perda de volume ou flacidez e não garante apagar poros, cicatrizes, pigmentação ou todas as rugas. Não equivale a preenchimento estrutural nem a bioestimulação com polímeros. O resultado de uma formulação não pode ser atribuído a toda a categoria comercial.</w:t>
      </w:r>
    </w:p>
    <w:p>
      <w:r>
        <w:rPr>
          <w:sz w:val="24"/>
        </w:rPr>
        <w:t>A melhora pode ser gradual e variar entre áreas e pessoas. Pequenas elevações e edema inicial não são o resultado final. Sessões e manutenção precisam de indicação e reavaliação; não há prazo único de duração. A persistência do material e a percepção de hidratação podem ter tempos diferentes.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realizar, adiar, otimizar cuidados tópicos ou avaliar outras tecnologias e tratamentos conforme o problema predominante. A escolha deve considerar intensidade da queixa, riscos e benefício esperado.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O controle de desconforto pode envolver medidas locais e, quando indicado, anestésico tópico, local injetável ou presente na formulação. A escolha e os agentes devem ser registrados. Posso sentir picadas, ardor ou pressão mesmo com anestesia. Sedação e anestesia geral não são autorizadas por este termo. Anestésicos podem causar irritação, alergia e toxicidade, inclusive com efeitos neurológicos e cardíacos; vasoconstritores podem causar palpitações. Histórico de doença hepática, interações e reações anteriores precisa ser revisado.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Alergia a componente ou anestésico, infecção, herpes ou dermatite ativa na região e contraindicações da apresentação exigem resolução ou alternativa. Doença autoimune, imunossupressão, distúrbios de coagulação, edema persistente, material prévio e cicatrização alterada precisam de avaliação individual. A via injetável deve estar prevista; não é permitida apenas por decisão do paciente.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ardor, sensibilidade, vermelhidão, edema, hematomas e marcas de entrada; pápulas, relevo, irregularidades, efeito azulado, assimetria, coceira e resultado insatisfatório. Pápula que aumenta, dói ou persiste além da orientação não deve ser comprimida.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Infecção, abscesso, herpes, nódulos, inflamação tardia, granulomas e edema persistente podem ocorrer e exigir avaliação. A expressão “hidratação injetável” não garante baixa reatividade nem exclui complicação tardia.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A entrada de gel em vaso ou comprometimento da circulação pode provocar necrose, cicatrizes e, em eventos na circulação ocular, perda visual e cegueira permanente. Também podem ocorrer danos neurológicos graves. Baixo volume por aplicação e finalidade de qualidade de pele não tornam a aplicação isenta de risco.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A hialuronidase pode degradar ácido hialurônico quando indicada, mas sua ação depende da formulação e não garante correção de infecção, inflamação ou dano vascular ou visual. Pode reduzir o resultado e causar alergia, inclusive grave. A dissolução eletiva exige esclarecimento específico.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Alteração súbita de visão, dor nos olhos, dificuldade para falar, fraqueza de um lado do corpo, falta de ar ou inchaço de língua ou garganta exigem emergência imediata. Acione o SAMU 192 ou procure serviço de emergência sem dirigir e sem aguardar resposta da clínica. Avise a equipe em paralelo quando possível, sem atrasar a assistência.</w:t>
      </w:r>
    </w:p>
    <w:p>
      <w:r>
        <w:rPr>
          <w:sz w:val="24"/>
        </w:rPr>
        <w:t>Dor forte ou crescente, pele muito branca, pálida, fria, acinzentada ou com manchas roxas em rede, bolhas e feridas exigem avaliação presencial urgente. Entre em contato imediatamente; se não houver acesso rápido, procure emergência. Comprometimento vascular pode ocorrer sem dor importante. Fotos e mensagens não substituem o atendimento necessário.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Não esprema pápulas nem massageie para tentar espalhar o produto. Só realize manobra expressamente orientada para a formulação e o seu caso.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Reavaliar pápulas, edema e resposta de qualidade de pele; nova sessão não deve ser automática.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O produto exato precisa ser regularizado na Anvisa, estar dentro da validade e ter origem e integridade verificadas. Registro não autoriza toda região ou finalidade. Devem ser conferidas as indicações, contraindicações e condições da bula ou instruções de uso. Um nome de classe não substitui a apresentação específica.</w:t>
      </w:r>
    </w:p>
    <w:p>
      <w:r>
        <w:rPr>
          <w:sz w:val="24"/>
        </w:rPr>
        <w:t>Nome comercial e apresentação: ____________________________________</w:t>
      </w:r>
    </w:p>
    <w:p>
      <w:r>
        <w:rPr>
          <w:sz w:val="24"/>
        </w:rPr>
        <w:t>Composição e componentes relevantes: ____________________________________</w:t>
      </w:r>
    </w:p>
    <w:p>
      <w:r>
        <w:rPr>
          <w:sz w:val="24"/>
        </w:rPr>
        <w:t>Fabricante ou detentor do registro: ____________________________________</w:t>
      </w:r>
    </w:p>
    <w:p>
      <w:r>
        <w:rPr>
          <w:sz w:val="24"/>
        </w:rPr>
        <w:t>Número de registro Anvisa: ____________________________________</w:t>
      </w:r>
    </w:p>
    <w:p>
      <w:r>
        <w:rPr>
          <w:sz w:val="24"/>
        </w:rPr>
        <w:t>Bula ou instruções consultadas versão e data: ____________________________________</w:t>
      </w:r>
    </w:p>
    <w:p>
      <w:r>
        <w:rPr>
          <w:sz w:val="24"/>
        </w:rPr>
        <w:t>Regiões autorizadas e excluídas: ____________________________________</w:t>
      </w:r>
    </w:p>
    <w:p>
      <w:r>
        <w:rPr>
          <w:sz w:val="24"/>
        </w:rPr>
        <w:t>Quantidade planejada e número estimado de sessões: ____________________________________</w:t>
      </w:r>
    </w:p>
    <w:p>
      <w:r>
        <w:rPr>
          <w:sz w:val="24"/>
        </w:rPr>
        <w:t>Lote e validade verificados antes da aplicação: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o cartão de rastreabilidade será entregue ao paciente e sua cópia mantida no prontuário.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a possibilidade de necrose cegueira e dano permanente.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R1, R5, R3, R4, R22, R9.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SKINBOOSTER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