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 w:after="480"/>
      </w:pPr>
      <w:r>
        <w:drawing>
          <wp:inline xmlns:a="http://schemas.openxmlformats.org/drawingml/2006/main" xmlns:pic="http://schemas.openxmlformats.org/drawingml/2006/picture">
            <wp:extent cx="5669280" cy="3779520"/>
            <wp:docPr id="1" name="Picture 1" descr="Capa CA Academy 06_PC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PC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779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ubtitle"/>
      </w:pPr>
      <w:r>
        <w:t>Modelos editáveis para profissionais da saúde</w:t>
      </w:r>
    </w:p>
    <w:p>
      <w:pPr>
        <w:spacing w:after="360"/>
      </w:pPr>
      <w:r>
        <w:t>Um presente do Prof. Carlos Alexandre para a comunidade CA Academy. Personalize os campos e revise o documento para o seu serviço antes do uso clínico.</w:t>
      </w:r>
    </w:p>
    <w:p>
      <w:pPr>
        <w:spacing w:after="360"/>
      </w:pPr>
      <w:r>
        <w:t>Consentimento informado exige avaliação individual, diálogo e registro. O modelo não substitui esses cuidados.</w:t>
      </w:r>
    </w:p>
    <w:p>
      <w:r>
        <w:br w:type="page"/>
      </w:r>
    </w:p>
    <w:p>
      <w:pPr>
        <w:pStyle w:val="Title"/>
      </w:pPr>
      <w:r>
        <w:t>Termo de consentimento livre e esclarecido</w:t>
      </w:r>
    </w:p>
    <w:p>
      <w:pPr>
        <w:pStyle w:val="Heading1"/>
      </w:pPr>
      <w:r>
        <w:t>Bioestimulação facial com policaprolactona</w:t>
      </w:r>
    </w:p>
    <w:p>
      <w:r>
        <w:rPr>
          <w:sz w:val="24"/>
        </w:rPr>
        <w:t>Este documento registra o esclarecimento do procedimento proposto, alternativas, limites e riscos. Leia com calma e assine somente após a avaliação e a resposta às suas dúvidas. O plano individual e a identificação do produto ou equipamento fazem parte da decisão.</w:t>
      </w:r>
    </w:p>
    <w:p>
      <w:r>
        <w:rPr>
          <w:sz w:val="24"/>
        </w:rPr>
        <w:t>Paciente: (nome completo) ____________________________________</w:t>
      </w:r>
    </w:p>
    <w:p>
      <w:r>
        <w:rPr>
          <w:sz w:val="24"/>
        </w:rPr>
        <w:t>Data de nascimento: ____/____/______   CPF ou documento: __________________</w:t>
      </w:r>
    </w:p>
    <w:p>
      <w:r>
        <w:rPr>
          <w:sz w:val="24"/>
        </w:rPr>
        <w:t>Endereço: (endereço completo) ________________________________</w:t>
      </w:r>
    </w:p>
    <w:p>
      <w:r>
        <w:rPr>
          <w:sz w:val="24"/>
        </w:rPr>
        <w:t>Profissional: (nome completo) _________________________________</w:t>
      </w:r>
    </w:p>
    <w:p>
      <w:r>
        <w:rPr>
          <w:sz w:val="24"/>
        </w:rPr>
        <w:t>(profissão): __________________   (número do conselho e UF): _________________</w:t>
      </w:r>
    </w:p>
    <w:p>
      <w:r>
        <w:rPr>
          <w:sz w:val="24"/>
        </w:rPr>
        <w:t>Clínica ou serviço: __________________________   CNPJ ou CPF: ______________</w:t>
      </w:r>
    </w:p>
    <w:p>
      <w:r>
        <w:rPr>
          <w:sz w:val="24"/>
        </w:rPr>
        <w:t>Local de atendimento: (endereço completo) ________________________</w:t>
      </w:r>
    </w:p>
    <w:p>
      <w:r>
        <w:rPr>
          <w:sz w:val="24"/>
        </w:rPr>
        <w:t>Contato do serviço: __________________   Urgência fora do horário: ___________</w:t>
      </w:r>
    </w:p>
    <w:p>
      <w:pPr>
        <w:pStyle w:val="Heading1"/>
      </w:pPr>
      <w:r>
        <w:t>1 Procedimento e mecanismo</w:t>
      </w:r>
    </w:p>
    <w:p>
      <w:r>
        <w:rPr>
          <w:sz w:val="24"/>
        </w:rPr>
        <w:t>A policaprolactona é um polímero sintético biodegradável usado em determinadas apresentações injetáveis com objetivo de estimular remodelamento dos tecidos. Há formulações com partículas em gel e outras formulações distintas. A apresentação exata determina o efeito de volume inicial, a resposta progressiva e as instruções; uma sigla não define um tratamento uniforme.</w:t>
      </w:r>
    </w:p>
    <w:p>
      <w:pPr>
        <w:pStyle w:val="Heading1"/>
      </w:pPr>
      <w:r>
        <w:t>2 Anatomia e segurança</w:t>
      </w:r>
    </w:p>
    <w:p>
      <w:r>
        <w:rPr>
          <w:sz w:val="24"/>
        </w:rPr>
        <w:t>O planejamento considera espessura e mobilidade da pele, compartimentos de gordura, sustentação facial, cicatrizes, vasos, nervos e implantes anteriores. Material não dissolvível prontamente exige especial atenção à indicação e ao risco de excesso ou irregularidade. Nenhum instrumento elimina o risco de lesão vascular.</w:t>
      </w:r>
    </w:p>
    <w:p>
      <w:pPr>
        <w:pStyle w:val="Heading1"/>
        <w:pageBreakBefore/>
      </w:pPr>
      <w:r>
        <w:t>3 Indicação limites e evolução esperada</w:t>
      </w:r>
    </w:p>
    <w:p>
      <w:r>
        <w:rPr>
          <w:sz w:val="24"/>
        </w:rPr>
        <w:t>Pode ser considerada para modificações selecionadas de contorno, volume ou qualidade dos tecidos, exclusivamente conforme a apresentação e as regiões previstas em suas instruções. O plano facial não autoriza automaticamente aplicação em pálpebras, lábios, nariz ou no corpo.</w:t>
      </w:r>
    </w:p>
    <w:p>
      <w:r>
        <w:rPr>
          <w:sz w:val="24"/>
        </w:rPr>
        <w:t>Não equivale a PLLA, PDLLA, ácido hialurônico ou CaHA. Formulações líquidas e com microesferas não devem ser tratadas como intercambiáveis. Não garante lifting, simetria perfeita nem produção quantificável de colágeno. A possibilidade de biodegradação não significa correção rápida caso haja insatisfação.</w:t>
      </w:r>
    </w:p>
    <w:p>
      <w:r>
        <w:rPr>
          <w:sz w:val="24"/>
        </w:rPr>
        <w:t>A evolução e a duração dependem da formulação. Pode haver componente imediato do veículo e resposta gradual. Acompanhamento e novas sessões exigem avaliação; não se promete um prazo fixo de permanência nem desaparecimento do produto em determinada data. Dados de um produto não são garantia para toda a classe PCL.</w:t>
      </w:r>
    </w:p>
    <w:p>
      <w:r>
        <w:rPr>
          <w:sz w:val="24"/>
        </w:rPr>
        <w:t>Minha queixa e objetivo principal: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Melhora considerada possível e limitações explicadas: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2"/>
      </w:pPr>
      <w:r>
        <w:t>Alternativas e possibilidade de não realizar</w:t>
      </w:r>
    </w:p>
    <w:p>
      <w:r>
        <w:rPr>
          <w:sz w:val="24"/>
        </w:rPr>
        <w:t>Não tratar, adiar, avaliar produto de outra classe, tecnologias ou cirurgia conforme o objetivo. A reversibilidade deve ser discutida na comparação com opções à base de ácido hialurônico.</w:t>
      </w:r>
    </w:p>
    <w:p>
      <w:r>
        <w:rPr>
          <w:sz w:val="24"/>
        </w:rPr>
        <w:t>A recusa desta proposta estética não implica, por si, perda do direito de receber cuidado e esclarecimento. Posso optar por não modificar minha aparência. Fotografias e simulações são ilustrativas e não representam promessa de reprodução de um resultado.</w:t>
      </w:r>
    </w:p>
    <w:p>
      <w:pPr>
        <w:pStyle w:val="Heading2"/>
      </w:pPr>
      <w:r>
        <w:t>Anestesia e controle do desconforto</w:t>
      </w:r>
    </w:p>
    <w:p>
      <w:r>
        <w:rPr>
          <w:sz w:val="24"/>
        </w:rPr>
        <w:t>O controle de desconforto pode envolver medidas locais e, quando indicado, anestésico tópico, local injetável ou presente na formulação. A escolha e os agentes devem ser registrados. Posso sentir picadas, ardor ou pressão mesmo com anestesia. Sedação e anestesia geral não são autorizadas por este termo. Anestésicos podem causar irritação, alergia e toxicidade, inclusive com efeitos neurológicos e cardíacos; vasoconstritores podem causar palpitações. Histórico de doença hepática, interações e reações anteriores precisa ser revisado.</w:t>
      </w:r>
    </w:p>
    <w:p>
      <w:r>
        <w:rPr>
          <w:sz w:val="24"/>
        </w:rPr>
        <w:t>Devo descrever reações à anestesia, inclusive no dentista. Desmaio ou palpitação isolados não confirmam alergia. Suspeita de reação importante pode exigir avaliação antes do procedimento. A ausência de reação em uma ocasião não garante segurança em todas as formulações.</w:t>
      </w:r>
    </w:p>
    <w:p>
      <w:r>
        <w:rPr>
          <w:sz w:val="24"/>
        </w:rPr>
        <w:t>Anestesia ou analgesia proposta e restrições: ________________________</w:t>
      </w:r>
    </w:p>
    <w:p>
      <w:pPr>
        <w:pStyle w:val="Heading1"/>
        <w:pageBreakBefore/>
      </w:pPr>
      <w:r>
        <w:t>4 Contraindicações e condições de saúde</w:t>
      </w:r>
    </w:p>
    <w:p>
      <w:r>
        <w:rPr>
          <w:sz w:val="24"/>
        </w:rPr>
        <w:t>Este conjunto destina-se a adulto capaz de consentir. Alergia conhecida a componente, infecção ou inflamação ativa relevante na área, condição clínica sem esclarecimento, produto ou equipamento irregular e contraindicação nas instruções impedem o início até adequada resolução. Gestação, suspeita de gestação e amamentação são motivos para adiar esta proposta estética eletiva, considerando dados de segurança insuficientes e as instruções aplicáveis.</w:t>
      </w:r>
    </w:p>
    <w:p>
      <w:r>
        <w:rPr>
          <w:sz w:val="24"/>
        </w:rPr>
        <w:t>Doenças autoimunes, diabetes, alterações da coagulação, doenças hepáticas, renais, cardiovasculares, imunossupressão e tratamento oncológico exigem avaliação individual. Não são todas contraindicações absolutas, mas a atividade, o controle, o tratamento e as instruções podem mudar a decisão. Devem ser informados medicamentos, alergias, infecções, cirurgias, procedimentos dentários e estéticos, inclusive antigos.</w:t>
      </w:r>
    </w:p>
    <w:p>
      <w:r>
        <w:rPr>
          <w:sz w:val="24"/>
        </w:rPr>
        <w:t>É necessário identificar alergias a PCL, veículo e anestésico e contraindicações do produto escolhido. Infecção ativa, reação prévia a implantes, material desconhecido e doenças com inflamação ou cicatrização alteradas podem impedir ou adiar o tratamento. Doença autoimune estável requer análise individual, não uma autorização automática.</w:t>
      </w:r>
    </w:p>
    <w:p>
      <w:r>
        <w:rPr>
          <w:sz w:val="24"/>
        </w:rPr>
        <w:t>Condições pessoais e pendências identificadas:</w:t>
      </w:r>
    </w:p>
    <w:p>
      <w:r>
        <w:rPr>
          <w:sz w:val="24"/>
        </w:rPr>
        <w:t>____________________________________________________________</w:t>
      </w:r>
    </w:p>
    <w:p>
      <w:pPr>
        <w:pStyle w:val="Heading1"/>
      </w:pPr>
      <w:r>
        <w:t>5 Riscos e possíveis complicações</w:t>
      </w:r>
    </w:p>
    <w:p>
      <w:r>
        <w:rPr>
          <w:sz w:val="24"/>
        </w:rPr>
        <w:t>Não é possível prever com exatidão a resposta individual ou calcular uma probabilidade pessoal de complicação neste termo. A avaliação e os cuidados reduzem riscos, sem eliminá-los. A assinatura não comprova inevitabilidade de um evento nem ausência de falha assistencial.</w:t>
      </w:r>
    </w:p>
    <w:p>
      <w:pPr>
        <w:pStyle w:val="Heading2"/>
      </w:pPr>
      <w:r>
        <w:t>Reações locais e resultado</w:t>
      </w:r>
    </w:p>
    <w:p>
      <w:r>
        <w:rPr>
          <w:sz w:val="24"/>
        </w:rPr>
        <w:t>Dor, sensibilidade, vermelhidão, edema, hematoma, sangramento e coceira; assimetria, endurecimento, irregularidades, excesso, produto visível ou palpável e resultado diferente do esperado.</w:t>
      </w:r>
    </w:p>
    <w:p>
      <w:pPr>
        <w:pStyle w:val="Heading2"/>
      </w:pPr>
      <w:r>
        <w:t>Eventos persistentes ou tardios</w:t>
      </w:r>
    </w:p>
    <w:p>
      <w:r>
        <w:rPr>
          <w:sz w:val="24"/>
        </w:rPr>
        <w:t>Nódulos, granulomas, inflamação persistente ou tardia, infecção, abscesso, migração ou alteração de contorno podem ocorrer e ser difíceis de tratar. A abordagem pode ser prolongada e envolver procedimentos ou cirurgia; a retirada completa nem sempre é possível.</w:t>
      </w:r>
    </w:p>
    <w:p>
      <w:pPr>
        <w:pStyle w:val="Heading2"/>
      </w:pPr>
      <w:r>
        <w:t>Complicações graves</w:t>
      </w:r>
    </w:p>
    <w:p>
      <w:r>
        <w:rPr>
          <w:sz w:val="24"/>
        </w:rPr>
        <w:t>Obstrução vascular pode causar necrose, feridas, cicatrizes e deformidade. Eventos na circulação ocular podem causar perda de visão e cegueira permanente; também são possíveis eventos neurológicos graves. Reações alérgicas e complicações sistêmicas podem exigir hospitalização. Não há técnica ou produto com risco zero.</w:t>
      </w:r>
    </w:p>
    <w:p>
      <w:pPr>
        <w:pStyle w:val="Heading1"/>
        <w:pageBreakBefore/>
      </w:pPr>
      <w:r>
        <w:t>6 Limites da reversão e atendimento de intercorrências</w:t>
      </w:r>
    </w:p>
    <w:p>
      <w:r>
        <w:rPr>
          <w:sz w:val="24"/>
        </w:rPr>
        <w:t>A hialuronidase não dissolve PCL. Nas formulações com veículo de carboximetilcelulose, este também não é substrato da hialuronidase. Não existe reversão enzimática imediata estabelecida equivalente à do ácido hialurônico. O plano de manejo precisa ser específico para o material; não se garante recuperação de dano.</w:t>
      </w:r>
    </w:p>
    <w:p>
      <w:r>
        <w:rPr>
          <w:sz w:val="24"/>
        </w:rPr>
        <w:t>Diante de suspeita de complicação, o procedimento pode ser interrompido e o paciente encaminhado para avaliação e tratamento conforme a necessidade. A equipe explicará hipóteses, opções e limites. Tratamentos de emergência observam as regras legais e éticas de proteção à vida e à saúde; não há autorização irrestrita para qualquer intervenção.</w:t>
      </w:r>
    </w:p>
    <w:p>
      <w:pPr>
        <w:pStyle w:val="Heading2"/>
      </w:pPr>
      <w:r>
        <w:t>Sinais de emergência</w:t>
      </w:r>
    </w:p>
    <w:p>
      <w:r>
        <w:rPr>
          <w:sz w:val="24"/>
        </w:rPr>
        <w:t>Alteração súbita de visão, dor nos olhos, dificuldade para falar, fraqueza de um lado do corpo, falta de ar ou inchaço de língua ou garganta exigem emergência imediata. Acione o SAMU 192 ou procure serviço de emergência sem dirigir e sem aguardar resposta da clínica. Avise a equipe em paralelo quando possível, sem atrasar a assistência.</w:t>
      </w:r>
    </w:p>
    <w:p>
      <w:r>
        <w:rPr>
          <w:sz w:val="24"/>
        </w:rPr>
        <w:t>Dor forte ou crescente, pele muito branca, pálida, fria, acinzentada ou com manchas roxas em rede, bolhas e feridas exigem avaliação presencial urgente. Entre em contato imediatamente; se não houver acesso rápido, procure emergência. Comprometimento vascular pode ocorrer sem dor importante. Fotos e mensagens não substituem o atendimento necessário.</w:t>
      </w:r>
    </w:p>
    <w:p>
      <w:r>
        <w:rPr>
          <w:sz w:val="24"/>
        </w:rPr>
        <w:t>Febre, secreção, vermelhidão que se expande, inchaço que piora ou nódulo doloroso também precisam de avaliação rápida. Novos sintomas tardios devem ser informados, mesmo após período sem queixas. Não espere a revisão programada se houver sinal de alerta.</w:t>
      </w:r>
    </w:p>
    <w:p>
      <w:pPr>
        <w:pStyle w:val="Heading2"/>
      </w:pPr>
      <w:r>
        <w:t>Cuidados e acompanhamento</w:t>
      </w:r>
    </w:p>
    <w:p>
      <w:r>
        <w:rPr>
          <w:sz w:val="24"/>
        </w:rPr>
        <w:t>Não tente dissolver, aquecer ou espalhar o material com massagem. Qualquer cuidado manual deve corresponder à apresentação utilizada e ser orientado por escrito. Dor crescente, mudança de cor, ferida ou nódulo doloroso exige avaliação.</w:t>
      </w:r>
    </w:p>
    <w:p>
      <w:r>
        <w:rPr>
          <w:sz w:val="24"/>
        </w:rPr>
        <w:t>Receberei guia por escrito com cuidados, retorno e contatos. Devo proteger a região de trauma, manter higiene e seguir as orientações individuais. Não devo iniciar medicamentos para tratar uma possível complicação nem interromper medicamentos prescritos por conta própria. Novas infecções e procedimentos programados devem ser comunicados.</w:t>
      </w:r>
    </w:p>
    <w:p>
      <w:r>
        <w:rPr>
          <w:sz w:val="24"/>
        </w:rPr>
        <w:t>Acompanhar a resposta e a segurança a médio e longo prazo; registrar apresentação para qualquer atendimento futuro.</w:t>
      </w:r>
    </w:p>
    <w:p>
      <w:r>
        <w:rPr>
          <w:sz w:val="24"/>
        </w:rPr>
        <w:t>Referência de urgência e endereço: ______________________________</w:t>
      </w:r>
    </w:p>
    <w:p>
      <w:r>
        <w:rPr>
          <w:sz w:val="24"/>
        </w:rPr>
        <w:t>Contato assistencial fora do horário: ___________________________</w:t>
      </w:r>
    </w:p>
    <w:p>
      <w:pPr>
        <w:pStyle w:val="Heading1"/>
        <w:pageBreakBefore/>
      </w:pPr>
      <w:r>
        <w:t>7 Identificação e plano autorizado</w:t>
      </w:r>
    </w:p>
    <w:p>
      <w:r>
        <w:rPr>
          <w:sz w:val="24"/>
        </w:rPr>
        <w:t>O produto exato precisa ser regularizado na Anvisa, estar dentro da validade e ter origem e integridade verificadas. Registro não autoriza toda região ou finalidade. Devem ser conferidas as indicações, contraindicações e condições da bula ou instruções de uso. Um nome de classe não substitui a apresentação específica.</w:t>
      </w:r>
    </w:p>
    <w:p>
      <w:r>
        <w:rPr>
          <w:sz w:val="24"/>
        </w:rPr>
        <w:t>Nome comercial e apresentação: ____________________________________</w:t>
      </w:r>
    </w:p>
    <w:p>
      <w:r>
        <w:rPr>
          <w:sz w:val="24"/>
        </w:rPr>
        <w:t>Composição e componentes relevantes: ____________________________________</w:t>
      </w:r>
    </w:p>
    <w:p>
      <w:r>
        <w:rPr>
          <w:sz w:val="24"/>
        </w:rPr>
        <w:t>Fabricante ou detentor do registro: ____________________________________</w:t>
      </w:r>
    </w:p>
    <w:p>
      <w:r>
        <w:rPr>
          <w:sz w:val="24"/>
        </w:rPr>
        <w:t>Número de registro Anvisa: ____________________________________</w:t>
      </w:r>
    </w:p>
    <w:p>
      <w:r>
        <w:rPr>
          <w:sz w:val="24"/>
        </w:rPr>
        <w:t>Bula ou instruções consultadas versão e data: ____________________________________</w:t>
      </w:r>
    </w:p>
    <w:p>
      <w:r>
        <w:rPr>
          <w:sz w:val="24"/>
        </w:rPr>
        <w:t>Regiões autorizadas e excluídas: ____________________________________</w:t>
      </w:r>
    </w:p>
    <w:p>
      <w:r>
        <w:rPr>
          <w:sz w:val="24"/>
        </w:rPr>
        <w:t>Quantidade planejada e número estimado de sessões: ____________________________________</w:t>
      </w:r>
    </w:p>
    <w:p>
      <w:r>
        <w:rPr>
          <w:sz w:val="24"/>
        </w:rPr>
        <w:t>Lote e validade verificados antes da aplicação: ____________________________________</w:t>
      </w:r>
    </w:p>
    <w:p>
      <w:r>
        <w:rPr>
          <w:sz w:val="24"/>
        </w:rPr>
        <w:t>Se houver pendência, incompatibilidade ou mudança relevante no plano, não se inicia a intervenção com base neste formulário. A decisão deverá ser esclarecida e reconfirmada após resolução. Os dados efetivamente utilizados e eventuais intercorrências serão registrados no prontuário e o cartão de rastreabilidade será entregue ao paciente e sua cópia mantida no prontuário.</w:t>
      </w:r>
    </w:p>
    <w:p>
      <w:pPr>
        <w:pStyle w:val="Heading2"/>
      </w:pPr>
      <w:r>
        <w:t>Custos e intervenções adicionais</w:t>
      </w:r>
    </w:p>
    <w:p>
      <w:r>
        <w:rPr>
          <w:sz w:val="24"/>
        </w:rPr>
        <w:t>Número de sessões e condições financeiras devem ser esclarecidos em documento próprio. Sessões adicionais, associações, correções eletivas e mudança relevante de produto ou plano exigem nova avaliação e esclarecimento. Nenhuma autorização genérica de “retoque” substitui esse processo. Atendimento urgente não deve ser condicionado à assinatura de novo contrato.</w:t>
      </w:r>
    </w:p>
    <w:p>
      <w:pPr>
        <w:pStyle w:val="Heading1"/>
        <w:pageBreakBefore/>
      </w:pPr>
      <w:r>
        <w:t>8 Autonomia privacidade e decisão</w:t>
      </w:r>
    </w:p>
    <w:p>
      <w:r>
        <w:rPr>
          <w:sz w:val="24"/>
        </w:rPr>
        <w:t>A decisão é voluntária. Posso pedir explicações, tempo e segunda opinião, recusar ou retirar o consentimento antes da intervenção e solicitar interrupção durante o atendimento, respeitadas as medidas de segurança. Receberei cópia do termo. Variabilidade de resultado não elimina deveres profissionais. Este documento não contém renúncia a direitos, quitação geral, exclusão de responsabilidade ou transferência automática de culpa e custos ao paciente.</w:t>
      </w:r>
    </w:p>
    <w:p>
      <w:r>
        <w:rPr>
          <w:sz w:val="24"/>
        </w:rPr>
        <w:t>Dados de saúde e registros clínicos serão tratados com sigilo e finalidade assistencial, segundo as bases legais aplicáveis, com acesso e compartilhamento limitados ao necessário. O canal do serviço permite solicitar informações e exercer direitos. Publicidade, redes sociais e ensino identificável dependem de autorização separada; este consentimento não autoriza divulgação de imagens.</w:t>
      </w:r>
    </w:p>
    <w:p>
      <w:r>
        <w:rPr>
          <w:sz w:val="24"/>
        </w:rPr>
        <w:t>Paciente e prontuário: ________________________________________</w:t>
      </w:r>
    </w:p>
    <w:p>
      <w:r>
        <w:rPr>
          <w:sz w:val="24"/>
        </w:rPr>
        <w:t>Riscos particulares e esclarecimentos adicionais: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____________________________________________________________</w:t>
      </w:r>
    </w:p>
    <w:p>
      <w:r>
        <w:rPr>
          <w:sz w:val="24"/>
        </w:rPr>
        <w:t>[ ] Expliquei com minhas palavras o objetivo e os limites do tratamento.</w:t>
      </w:r>
    </w:p>
    <w:p>
      <w:r>
        <w:rPr>
          <w:sz w:val="24"/>
        </w:rPr>
        <w:t>[ ] Entendi a possibilidade de necrose cegueira e dano permanente.</w:t>
      </w:r>
    </w:p>
    <w:p>
      <w:r>
        <w:rPr>
          <w:sz w:val="24"/>
        </w:rPr>
        <w:t>[ ] Sei como agir se houver sinais de alerta e tenho contatos assistenciais.</w:t>
      </w:r>
    </w:p>
    <w:p>
      <w:r>
        <w:rPr>
          <w:sz w:val="24"/>
        </w:rPr>
        <w:t>[ ] Tive oportunidade de perguntar e recebi respostas compreensíveis.</w:t>
      </w:r>
    </w:p>
    <w:p>
      <w:r>
        <w:rPr>
          <w:sz w:val="24"/>
        </w:rPr>
        <w:t>Minha decisão: [ ] Consinto com o plano descrito  [ ] Adio  [ ] Não consinto</w:t>
      </w:r>
    </w:p>
    <w:p>
      <w:r>
        <w:rPr>
          <w:sz w:val="24"/>
        </w:rPr>
        <w:t>Local: __________________ Data: ____/____/______ Hora: ___________________</w:t>
      </w:r>
    </w:p>
    <w:p>
      <w:r>
        <w:rPr>
          <w:sz w:val="24"/>
        </w:rPr>
        <w:t>Assinatura do paciente ou representante: ________________________</w:t>
      </w:r>
    </w:p>
    <w:p>
      <w:r>
        <w:rPr>
          <w:sz w:val="24"/>
        </w:rPr>
        <w:t>Representante se necessário nome documento e fundamento: __________________</w:t>
      </w:r>
    </w:p>
    <w:p>
      <w:r>
        <w:rPr>
          <w:sz w:val="24"/>
        </w:rPr>
        <w:t>Declaração profissional: realizei a avaliação e expliquei o plano, alternativas, benefícios possíveis, riscos e cuidados em linguagem acessível, sem promessa de resultado. Esclareci dúvidas e registrei os aspectos individuais no prontuário.</w:t>
      </w:r>
    </w:p>
    <w:p>
      <w:r>
        <w:rPr>
          <w:sz w:val="24"/>
        </w:rPr>
        <w:t>Profissional: (nome) ____________________ (profissão) _____________________</w:t>
      </w:r>
    </w:p>
    <w:p>
      <w:r>
        <w:rPr>
          <w:sz w:val="24"/>
        </w:rPr>
        <w:t>(número do conselho e UF): ______________ Assinatura: _____________________</w:t>
      </w:r>
    </w:p>
    <w:p>
      <w:r>
        <w:rPr>
          <w:sz w:val="24"/>
        </w:rPr>
        <w:t>Apoio à leitura ou intérprete e assinatura se aplicável: ____________________</w:t>
      </w:r>
    </w:p>
    <w:p>
      <w:r>
        <w:rPr>
          <w:sz w:val="18"/>
        </w:rPr>
        <w:t>Referências de apoio para o profissional: R1, R3, R4, R17, R18, R8. Consultar o documento comum Orientações profissionais e referências. O TCLE não substitui a conversa clínica nem as instruções do produto.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50" w:right="1152" w:bottom="936" w:left="1152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PCL TCLE  |  v1.2  |  27 out 2026  |  Página </w:t>
    </w:r>
    <w:fldSimple w:instr="PAGE"/>
  </w:p>
  <w:p>
    <w:pPr>
      <w:spacing w:before="40" w:after="0"/>
      <w:jc w:val="center"/>
    </w:pPr>
    <w:hyperlink r:id="rId1">
      <w:r>
        <w:rPr>
          <w:sz w:val="16"/>
          <w:color w:val="34483B"/>
        </w:rPr>
        <w:t>CA Academy · Conheça o Método CDM · Formação em toxina botulínica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CA ACADEMY  |  DOCUMENTAÇÃO CLÍNICA</w:t>
    </w:r>
  </w:p>
  <w:p>
    <w:r>
      <w:rPr>
        <w:sz w:val="16"/>
      </w:rPr>
      <w:t>Paciente ou prontuário: _________________________________________________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clinic.com.br/metodo-cdm-curso-online-com-dr-carlos-alexand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livre e esclarecido</dc:title>
  <dc:subject>Documentação clínica em estética facial</dc:subject>
  <dc:creator>CA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1.2</cp:version>
</cp:coreProperties>
</file>