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40" w:after="480"/>
      </w:pPr>
      <w:r>
        <w:drawing>
          <wp:inline xmlns:a="http://schemas.openxmlformats.org/drawingml/2006/main" xmlns:pic="http://schemas.openxmlformats.org/drawingml/2006/picture">
            <wp:extent cx="5669280" cy="3779520"/>
            <wp:docPr id="1" name="Picture 1" descr="Capa CA Academy 05_Hidroxiapatit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Hidroxiapatit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79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>Modelos editáveis para profissionais da saúde</w:t>
      </w:r>
    </w:p>
    <w:p>
      <w:pPr>
        <w:spacing w:after="360"/>
      </w:pPr>
      <w:r>
        <w:t>Um presente do Prof. Carlos Alexandre para a comunidade CA Academy. Personalize os campos e revise o documento para o seu serviço antes do uso clínico.</w:t>
      </w:r>
    </w:p>
    <w:p>
      <w:pPr>
        <w:spacing w:after="360"/>
      </w:pPr>
      <w:r>
        <w:t>Consentimento informado exige avaliação individual, diálogo e registro. O modelo não substitui esses cuidados.</w:t>
      </w:r>
    </w:p>
    <w:p>
      <w:r>
        <w:br w:type="page"/>
      </w:r>
    </w:p>
    <w:p>
      <w:pPr>
        <w:pStyle w:val="Title"/>
      </w:pPr>
      <w:r>
        <w:t>Termo de consentimento livre e esclarecido</w:t>
      </w:r>
    </w:p>
    <w:p>
      <w:pPr>
        <w:pStyle w:val="Heading1"/>
      </w:pPr>
      <w:r>
        <w:t>Bioestimulação facial com hidroxiapatita de cálcio</w:t>
      </w:r>
    </w:p>
    <w:p>
      <w:r>
        <w:rPr>
          <w:sz w:val="24"/>
        </w:rPr>
        <w:t>Este documento registra o esclarecimento do procedimento proposto, alternativas, limites e riscos. Leia com calma e assine somente após a avaliação e a resposta às suas dúvidas. O plano individual e a identificação do produto ou equipamento fazem parte da decisão.</w:t>
      </w:r>
    </w:p>
    <w:p>
      <w:r>
        <w:rPr>
          <w:sz w:val="24"/>
        </w:rPr>
        <w:t>Paciente: (nome completo) ____________________________________</w:t>
      </w:r>
    </w:p>
    <w:p>
      <w:r>
        <w:rPr>
          <w:sz w:val="24"/>
        </w:rPr>
        <w:t>Data de nascimento: ____/____/______   CPF ou documento: __________________</w:t>
      </w:r>
    </w:p>
    <w:p>
      <w:r>
        <w:rPr>
          <w:sz w:val="24"/>
        </w:rPr>
        <w:t>Endereço: (endereço completo) ________________________________</w:t>
      </w:r>
    </w:p>
    <w:p>
      <w:r>
        <w:rPr>
          <w:sz w:val="24"/>
        </w:rPr>
        <w:t>Profissional: (nome completo) _________________________________</w:t>
      </w:r>
    </w:p>
    <w:p>
      <w:r>
        <w:rPr>
          <w:sz w:val="24"/>
        </w:rPr>
        <w:t>(profissão): __________________   (número do conselho e UF): _________________</w:t>
      </w:r>
    </w:p>
    <w:p>
      <w:r>
        <w:rPr>
          <w:sz w:val="24"/>
        </w:rPr>
        <w:t>Clínica ou serviço: __________________________   CNPJ ou CPF: ______________</w:t>
      </w:r>
    </w:p>
    <w:p>
      <w:r>
        <w:rPr>
          <w:sz w:val="24"/>
        </w:rPr>
        <w:t>Local de atendimento: (endereço completo) ________________________</w:t>
      </w:r>
    </w:p>
    <w:p>
      <w:r>
        <w:rPr>
          <w:sz w:val="24"/>
        </w:rPr>
        <w:t>Contato do serviço: __________________   Urgência fora do horário: ___________</w:t>
      </w:r>
    </w:p>
    <w:p>
      <w:pPr>
        <w:pStyle w:val="Heading1"/>
      </w:pPr>
      <w:r>
        <w:t>1 Procedimento e mecanismo</w:t>
      </w:r>
    </w:p>
    <w:p>
      <w:r>
        <w:rPr>
          <w:sz w:val="24"/>
        </w:rPr>
        <w:t>A hidroxiapatita de cálcio é utilizada em apresentações injetáveis com partículas em um veículo. Conforme a apresentação e a forma de uso autorizada, pode contribuir para volume e contorno e ou estímulo de remodelamento tecidual e colágeno. A semelhança química com um mineral do organismo não torna a aplicação isenta de risco.</w:t>
      </w:r>
    </w:p>
    <w:p>
      <w:pPr>
        <w:pStyle w:val="Heading1"/>
      </w:pPr>
      <w:r>
        <w:t>2 Anatomia e segurança</w:t>
      </w:r>
    </w:p>
    <w:p>
      <w:r>
        <w:rPr>
          <w:sz w:val="24"/>
        </w:rPr>
        <w:t>Espessura da pele, gordura, estruturas de sustentação, vasos, nervos e materiais anteriores são relevantes. Regiões de pele fina podem apresentar maior palpabilidade ou visibilidade do produto. A circulação da face tem conexões com os olhos, exigindo avaliação específica da área proposta.</w:t>
      </w:r>
    </w:p>
    <w:p>
      <w:pPr>
        <w:pStyle w:val="Heading1"/>
        <w:pageBreakBefore/>
      </w:pPr>
      <w:r>
        <w:t>3 Indicação limites e evolução esperada</w:t>
      </w:r>
    </w:p>
    <w:p>
      <w:r>
        <w:rPr>
          <w:sz w:val="24"/>
        </w:rPr>
        <w:t>Pode ser considerada para alterações selecionadas de contorno, volume ou qualidade dos tecidos compatíveis com a apresentação registrada. Produto sem diluição, diluído e hiperdiluído não são autorizações equivalentes. A instrução do produto deve respaldar o uso planejado; uma recomendação em artigo não substitui essa conferência.</w:t>
      </w:r>
    </w:p>
    <w:p>
      <w:r>
        <w:rPr>
          <w:sz w:val="24"/>
        </w:rPr>
        <w:t>Não promove lifting cirúrgico, não corrige toda perda de sustentação e não garante uma quantidade específica de colágeno. A ausência de grande efeito volumizador numa proposta de bioestimulação não significa ineficácia. Este termo é para CaHA; produto híbrido com ácido hialurônico exige esclarecimento dos dois componentes e adaptação específica.</w:t>
      </w:r>
    </w:p>
    <w:p>
      <w:r>
        <w:rPr>
          <w:sz w:val="24"/>
        </w:rPr>
        <w:t>Pode haver efeito inicial de volume dependente do veículo e edema e um componente progressivo de resposta tecidual. A avaliação ocorre ao longo do tempo. Número de sessões, intervalo, duração e necessidade de manutenção são individualizados e sujeitos às instruções do produto. Não há garantia de simetria ou duração fixa.</w:t>
      </w:r>
    </w:p>
    <w:p>
      <w:r>
        <w:rPr>
          <w:sz w:val="24"/>
        </w:rPr>
        <w:t>Minha queixa e objetivo principal: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Melhora considerada possível e limitações explicadas: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2"/>
      </w:pPr>
      <w:r>
        <w:t>Alternativas e possibilidade de não realizar</w:t>
      </w:r>
    </w:p>
    <w:p>
      <w:r>
        <w:rPr>
          <w:sz w:val="24"/>
        </w:rPr>
        <w:t>Não tratar, adiar ou avaliar outros materiais, tecnologias ou cirurgia conforme a queixa. Um produto dissolvível à base de ácido hialurônico tem limitações e riscos diferentes e não produz necessariamente o mesmo resultado.</w:t>
      </w:r>
    </w:p>
    <w:p>
      <w:r>
        <w:rPr>
          <w:sz w:val="24"/>
        </w:rPr>
        <w:t>A recusa desta proposta estética não implica, por si, perda do direito de receber cuidado e esclarecimento. Posso optar por não modificar minha aparência. Fotografias e simulações são ilustrativas e não representam promessa de reprodução de um resultado.</w:t>
      </w:r>
    </w:p>
    <w:p>
      <w:pPr>
        <w:pStyle w:val="Heading2"/>
      </w:pPr>
      <w:r>
        <w:t>Anestesia e controle do desconforto</w:t>
      </w:r>
    </w:p>
    <w:p>
      <w:r>
        <w:rPr>
          <w:sz w:val="24"/>
        </w:rPr>
        <w:t>O controle de desconforto pode envolver medidas locais e, quando indicado, anestésico tópico, local injetável ou presente na formulação. A escolha e os agentes devem ser registrados. Posso sentir picadas, ardor ou pressão mesmo com anestesia. Sedação e anestesia geral não são autorizadas por este termo. Anestésicos podem causar irritação, alergia e toxicidade, inclusive com efeitos neurológicos e cardíacos; vasoconstritores podem causar palpitações. Histórico de doença hepática, interações e reações anteriores precisa ser revisado.</w:t>
      </w:r>
    </w:p>
    <w:p>
      <w:r>
        <w:rPr>
          <w:sz w:val="24"/>
        </w:rPr>
        <w:t>Devo descrever reações à anestesia, inclusive no dentista. Desmaio ou palpitação isolados não confirmam alergia. Suspeita de reação importante pode exigir avaliação antes do procedimento. A ausência de reação em uma ocasião não garante segurança em todas as formulações.</w:t>
      </w:r>
    </w:p>
    <w:p>
      <w:r>
        <w:rPr>
          <w:sz w:val="24"/>
        </w:rPr>
        <w:t>Anestesia ou analgesia proposta e restrições: ________________________</w:t>
      </w:r>
    </w:p>
    <w:p>
      <w:pPr>
        <w:pStyle w:val="Heading1"/>
        <w:pageBreakBefore/>
      </w:pPr>
      <w:r>
        <w:t>4 Contraindicações e condições de saúde</w:t>
      </w:r>
    </w:p>
    <w:p>
      <w:r>
        <w:rPr>
          <w:sz w:val="24"/>
        </w:rPr>
        <w:t>Este conjunto destina-se a adulto capaz de consentir. Alergia conhecida a componente, infecção ou inflamação ativa relevante na área, condição clínica sem esclarecimento, produto ou equipamento irregular e contraindicação nas instruções impedem o início até adequada resolução. Gestação, suspeita de gestação e amamentação são motivos para adiar esta proposta estética eletiva, considerando dados de segurança insuficientes e as instruções aplicáveis.</w:t>
      </w:r>
    </w:p>
    <w:p>
      <w:r>
        <w:rPr>
          <w:sz w:val="24"/>
        </w:rPr>
        <w:t>Doenças autoimunes, diabetes, alterações da coagulação, doenças hepáticas, renais, cardiovasculares, imunossupressão e tratamento oncológico exigem avaliação individual. Não são todas contraindicações absolutas, mas a atividade, o controle, o tratamento e as instruções podem mudar a decisão. Devem ser informados medicamentos, alergias, infecções, cirurgias, procedimentos dentários e estéticos, inclusive antigos.</w:t>
      </w:r>
    </w:p>
    <w:p>
      <w:r>
        <w:rPr>
          <w:sz w:val="24"/>
        </w:rPr>
        <w:t>Alergia a qualquer componente, infecção na área e contraindicações da apresentação impedem o uso até adequada resolução ou escolha fundamentada de alternativa. Doença autoimune ou granulomatosa, distúrbios de coagulação, imunossupressão e cicatrização alterada exigem avaliação. Áreas como lábios ou outras regiões não previstas não são autorizadas por este documento.</w:t>
      </w:r>
    </w:p>
    <w:p>
      <w:r>
        <w:rPr>
          <w:sz w:val="24"/>
        </w:rPr>
        <w:t>Condições pessoais e pendências identificadas: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1"/>
      </w:pPr>
      <w:r>
        <w:t>5 Riscos e possíveis complicações</w:t>
      </w:r>
    </w:p>
    <w:p>
      <w:r>
        <w:rPr>
          <w:sz w:val="24"/>
        </w:rPr>
        <w:t>Não é possível prever com exatidão a resposta individual ou calcular uma probabilidade pessoal de complicação neste termo. A avaliação e os cuidados reduzem riscos, sem eliminá-los. A assinatura não comprova inevitabilidade de um evento nem ausência de falha assistencial.</w:t>
      </w:r>
    </w:p>
    <w:p>
      <w:pPr>
        <w:pStyle w:val="Heading2"/>
      </w:pPr>
      <w:r>
        <w:t>Reações locais e resultado</w:t>
      </w:r>
    </w:p>
    <w:p>
      <w:r>
        <w:rPr>
          <w:sz w:val="24"/>
        </w:rPr>
        <w:t>Dor, ardor, sensibilidade, vermelhidão, inchaço, sangramento e hematoma; irregularidade, endurecimento, nódulo, assimetria e produto aparente ou palpável. Deposição em tecido inadequado pode comprometer o contorno e a mobilidade local.</w:t>
      </w:r>
    </w:p>
    <w:p>
      <w:pPr>
        <w:pStyle w:val="Heading2"/>
      </w:pPr>
      <w:r>
        <w:t>Eventos persistentes ou tardios</w:t>
      </w:r>
    </w:p>
    <w:p>
      <w:r>
        <w:rPr>
          <w:sz w:val="24"/>
        </w:rPr>
        <w:t>Infecção, abscesso, reação de corpo estranho, granuloma, inflamação tardia, nódulos persistentes e alteração do contorno podem requerer medicamentos, procedimentos adicionais ou cirurgia. Nem sempre será possível eliminar o material ou a alteração por completo.</w:t>
      </w:r>
    </w:p>
    <w:p>
      <w:pPr>
        <w:pStyle w:val="Heading2"/>
      </w:pPr>
      <w:r>
        <w:t>Complicações graves</w:t>
      </w:r>
    </w:p>
    <w:p>
      <w:r>
        <w:rPr>
          <w:sz w:val="24"/>
        </w:rPr>
        <w:t>A injeção inadvertida em vasos ou comprometimento da circulação pode causar necrose, cicatrizes, deformidade, perda visual permanente e eventos neurológicos graves. São possíveis reações alérgicas graves e necessidade de internação. Risco vascular não se restringe ao ácido hialurônico.</w:t>
      </w:r>
    </w:p>
    <w:p>
      <w:pPr>
        <w:pStyle w:val="Heading1"/>
        <w:pageBreakBefore/>
      </w:pPr>
      <w:r>
        <w:t>6 Limites da reversão e atendimento de intercorrências</w:t>
      </w:r>
    </w:p>
    <w:p>
      <w:r>
        <w:rPr>
          <w:sz w:val="24"/>
        </w:rPr>
        <w:t>A hialuronidase não dissolve as partículas de hidroxiapatita de cálcio. Não há antídoto enzimático de reversão imediata equivalente ao utilizado para gel de ácido hialurônico. Tratamento da intercorrência depende da causa e da avaliação especializada; não se garante reversão de dano vascular, visual ou estético.</w:t>
      </w:r>
    </w:p>
    <w:p>
      <w:r>
        <w:rPr>
          <w:sz w:val="24"/>
        </w:rPr>
        <w:t>A hidroxiapatita de cálcio pode aparecer em radiografias e tomografias. Informe ao profissional e à equipe de radiologia o produto, a região e a data da aplicação, para auxiliar a interpretação dos exames.</w:t>
      </w:r>
    </w:p>
    <w:p>
      <w:r>
        <w:rPr>
          <w:sz w:val="24"/>
        </w:rPr>
        <w:t>Diante de suspeita de complicação, o procedimento pode ser interrompido e o paciente encaminhado para avaliação e tratamento conforme a necessidade. A equipe explicará hipóteses, opções e limites. Tratamentos de emergência observam as regras legais e éticas de proteção à vida e à saúde; não há autorização irrestrita para qualquer intervenção.</w:t>
      </w:r>
    </w:p>
    <w:p>
      <w:pPr>
        <w:pStyle w:val="Heading2"/>
      </w:pPr>
      <w:r>
        <w:t>Sinais de emergência</w:t>
      </w:r>
    </w:p>
    <w:p>
      <w:r>
        <w:rPr>
          <w:sz w:val="24"/>
        </w:rPr>
        <w:t>Alteração súbita de visão, dor nos olhos, dificuldade para falar, fraqueza de um lado do corpo, falta de ar ou inchaço de língua ou garganta exigem emergência imediata. Acione o SAMU 192 ou procure serviço de emergência sem dirigir e sem aguardar resposta da clínica. Avise a equipe em paralelo quando possível, sem atrasar a assistência.</w:t>
      </w:r>
    </w:p>
    <w:p>
      <w:r>
        <w:rPr>
          <w:sz w:val="24"/>
        </w:rPr>
        <w:t>Dor forte ou crescente, pele muito branca, pálida, fria, acinzentada ou com manchas roxas em rede, bolhas e feridas exigem avaliação presencial urgente. Entre em contato imediatamente; se não houver acesso rápido, procure emergência. Comprometimento vascular pode ocorrer sem dor importante. Fotos e mensagens não substituem o atendimento necessário.</w:t>
      </w:r>
    </w:p>
    <w:p>
      <w:r>
        <w:rPr>
          <w:sz w:val="24"/>
        </w:rPr>
        <w:t>Febre, secreção, vermelhidão que se expande, inchaço que piora ou nódulo doloroso também precisam de avaliação rápida. Novos sintomas tardios devem ser informados, mesmo após período sem queixas. Não espere a revisão programada se houver sinal de alerta.</w:t>
      </w:r>
    </w:p>
    <w:p>
      <w:pPr>
        <w:pStyle w:val="Heading2"/>
      </w:pPr>
      <w:r>
        <w:t>Cuidados e acompanhamento</w:t>
      </w:r>
    </w:p>
    <w:p>
      <w:r>
        <w:rPr>
          <w:sz w:val="24"/>
        </w:rPr>
        <w:t>Não massageie nem pressione irregularidades por iniciativa própria. Se a apresentação e o plano exigirem alguma manobra domiciliar, ela deve ser demonstrada e registrada. Não se aplica automaticamente a regra de massagem usada em outro bioestimulador.</w:t>
      </w:r>
    </w:p>
    <w:p>
      <w:r>
        <w:rPr>
          <w:sz w:val="24"/>
        </w:rPr>
        <w:t>Receberei guia por escrito com cuidados, retorno e contatos. Devo proteger a região de trauma, manter higiene e seguir as orientações individuais. Não devo iniciar medicamentos para tratar uma possível complicação nem interromper medicamentos prescritos por conta própria. Novas infecções e procedimentos programados devem ser comunicados.</w:t>
      </w:r>
    </w:p>
    <w:p>
      <w:r>
        <w:rPr>
          <w:sz w:val="24"/>
        </w:rPr>
        <w:t>Revisão clínica e fotográfica conforme o objetivo de volume ou de bioestimulação. Decidir nova sessão somente após avaliação.</w:t>
      </w:r>
    </w:p>
    <w:p>
      <w:r>
        <w:rPr>
          <w:sz w:val="24"/>
        </w:rPr>
        <w:t>Referência de urgência e endereço: ______________________________</w:t>
      </w:r>
    </w:p>
    <w:p>
      <w:r>
        <w:rPr>
          <w:sz w:val="24"/>
        </w:rPr>
        <w:t>Contato assistencial fora do horário: ___________________________</w:t>
      </w:r>
    </w:p>
    <w:p>
      <w:pPr>
        <w:pStyle w:val="Heading1"/>
        <w:pageBreakBefore/>
      </w:pPr>
      <w:r>
        <w:t>7 Identificação e plano autorizado</w:t>
      </w:r>
    </w:p>
    <w:p>
      <w:r>
        <w:rPr>
          <w:sz w:val="24"/>
        </w:rPr>
        <w:t>O produto exato precisa ser regularizado na Anvisa, estar dentro da validade e ter origem e integridade verificadas. Registro não autoriza toda região ou finalidade. Devem ser conferidas as indicações, contraindicações e condições da bula ou instruções de uso. Um nome de classe não substitui a apresentação específica.</w:t>
      </w:r>
    </w:p>
    <w:p>
      <w:r>
        <w:rPr>
          <w:sz w:val="24"/>
        </w:rPr>
        <w:t>Nome comercial e apresentação: ____________________________________</w:t>
      </w:r>
    </w:p>
    <w:p>
      <w:r>
        <w:rPr>
          <w:sz w:val="24"/>
        </w:rPr>
        <w:t>Composição e componentes relevantes: ____________________________________</w:t>
      </w:r>
    </w:p>
    <w:p>
      <w:r>
        <w:rPr>
          <w:sz w:val="24"/>
        </w:rPr>
        <w:t>Fabricante ou detentor do registro: ____________________________________</w:t>
      </w:r>
    </w:p>
    <w:p>
      <w:r>
        <w:rPr>
          <w:sz w:val="24"/>
        </w:rPr>
        <w:t>Número de registro Anvisa: ____________________________________</w:t>
      </w:r>
    </w:p>
    <w:p>
      <w:r>
        <w:rPr>
          <w:sz w:val="24"/>
        </w:rPr>
        <w:t>Bula ou instruções consultadas versão e data: ____________________________________</w:t>
      </w:r>
    </w:p>
    <w:p>
      <w:r>
        <w:rPr>
          <w:sz w:val="24"/>
        </w:rPr>
        <w:t>Regiões autorizadas e excluídas: ____________________________________</w:t>
      </w:r>
    </w:p>
    <w:p>
      <w:r>
        <w:rPr>
          <w:sz w:val="24"/>
        </w:rPr>
        <w:t>Quantidade planejada e número estimado de sessões: ____________________________________</w:t>
      </w:r>
    </w:p>
    <w:p>
      <w:r>
        <w:rPr>
          <w:sz w:val="24"/>
        </w:rPr>
        <w:t>Lote e validade verificados antes da aplicação: ____________________________________</w:t>
      </w:r>
    </w:p>
    <w:p>
      <w:r>
        <w:rPr>
          <w:sz w:val="24"/>
        </w:rPr>
        <w:t>Se houver pendência, incompatibilidade ou mudança relevante no plano, não se inicia a intervenção com base neste formulário. A decisão deverá ser esclarecida e reconfirmada após resolução. Os dados efetivamente utilizados e eventuais intercorrências serão registrados no prontuário e o cartão de rastreabilidade será entregue ao paciente e sua cópia mantida no prontuário.</w:t>
      </w:r>
    </w:p>
    <w:p>
      <w:pPr>
        <w:pStyle w:val="Heading2"/>
      </w:pPr>
      <w:r>
        <w:t>Custos e intervenções adicionais</w:t>
      </w:r>
    </w:p>
    <w:p>
      <w:r>
        <w:rPr>
          <w:sz w:val="24"/>
        </w:rPr>
        <w:t>Número de sessões e condições financeiras devem ser esclarecidos em documento próprio. Sessões adicionais, associações, correções eletivas e mudança relevante de produto ou plano exigem nova avaliação e esclarecimento. Nenhuma autorização genérica de “retoque” substitui esse processo. Atendimento urgente não deve ser condicionado à assinatura de novo contrato.</w:t>
      </w:r>
    </w:p>
    <w:p>
      <w:pPr>
        <w:pStyle w:val="Heading1"/>
        <w:pageBreakBefore/>
      </w:pPr>
      <w:r>
        <w:t>8 Autonomia privacidade e decisão</w:t>
      </w:r>
    </w:p>
    <w:p>
      <w:r>
        <w:rPr>
          <w:sz w:val="24"/>
        </w:rPr>
        <w:t>A decisão é voluntária. Posso pedir explicações, tempo e segunda opinião, recusar ou retirar o consentimento antes da intervenção e solicitar interrupção durante o atendimento, respeitadas as medidas de segurança. Receberei cópia do termo. Variabilidade de resultado não elimina deveres profissionais. Este documento não contém renúncia a direitos, quitação geral, exclusão de responsabilidade ou transferência automática de culpa e custos ao paciente.</w:t>
      </w:r>
    </w:p>
    <w:p>
      <w:r>
        <w:rPr>
          <w:sz w:val="24"/>
        </w:rPr>
        <w:t>Dados de saúde e registros clínicos serão tratados com sigilo e finalidade assistencial, segundo as bases legais aplicáveis, com acesso e compartilhamento limitados ao necessário. O canal do serviço permite solicitar informações e exercer direitos. Publicidade, redes sociais e ensino identificável dependem de autorização separada; este consentimento não autoriza divulgação de imagens.</w:t>
      </w:r>
    </w:p>
    <w:p>
      <w:r>
        <w:rPr>
          <w:sz w:val="24"/>
        </w:rPr>
        <w:t>Paciente e prontuário: ________________________________________</w:t>
      </w:r>
    </w:p>
    <w:p>
      <w:r>
        <w:rPr>
          <w:sz w:val="24"/>
        </w:rPr>
        <w:t>Riscos particulares e esclarecimentos adicionais: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[ ] Expliquei com minhas palavras o objetivo e os limites do tratamento.</w:t>
      </w:r>
    </w:p>
    <w:p>
      <w:r>
        <w:rPr>
          <w:sz w:val="24"/>
        </w:rPr>
        <w:t>[ ] Entendi a possibilidade de necrose cegueira e dano permanente.</w:t>
      </w:r>
    </w:p>
    <w:p>
      <w:r>
        <w:rPr>
          <w:sz w:val="24"/>
        </w:rPr>
        <w:t>[ ] Sei como agir se houver sinais de alerta e tenho contatos assistenciais.</w:t>
      </w:r>
    </w:p>
    <w:p>
      <w:r>
        <w:rPr>
          <w:sz w:val="24"/>
        </w:rPr>
        <w:t>[ ] Tive oportunidade de perguntar e recebi respostas compreensíveis.</w:t>
      </w:r>
    </w:p>
    <w:p>
      <w:r>
        <w:rPr>
          <w:sz w:val="24"/>
        </w:rPr>
        <w:t>Minha decisão: [ ] Consinto com o plano descrito  [ ] Adio  [ ] Não consinto</w:t>
      </w:r>
    </w:p>
    <w:p>
      <w:r>
        <w:rPr>
          <w:sz w:val="24"/>
        </w:rPr>
        <w:t>Local: __________________ Data: ____/____/______ Hora: ___________________</w:t>
      </w:r>
    </w:p>
    <w:p>
      <w:r>
        <w:rPr>
          <w:sz w:val="24"/>
        </w:rPr>
        <w:t>Assinatura do paciente ou representante: ________________________</w:t>
      </w:r>
    </w:p>
    <w:p>
      <w:r>
        <w:rPr>
          <w:sz w:val="24"/>
        </w:rPr>
        <w:t>Representante se necessário nome documento e fundamento: __________________</w:t>
      </w:r>
    </w:p>
    <w:p>
      <w:r>
        <w:rPr>
          <w:sz w:val="24"/>
        </w:rPr>
        <w:t>Declaração profissional: realizei a avaliação e expliquei o plano, alternativas, benefícios possíveis, riscos e cuidados em linguagem acessível, sem promessa de resultado. Esclareci dúvidas e registrei os aspectos individuais no prontuário.</w:t>
      </w:r>
    </w:p>
    <w:p>
      <w:r>
        <w:rPr>
          <w:sz w:val="24"/>
        </w:rPr>
        <w:t>Profissional: (nome) ____________________ (profissão) _____________________</w:t>
      </w:r>
    </w:p>
    <w:p>
      <w:r>
        <w:rPr>
          <w:sz w:val="24"/>
        </w:rPr>
        <w:t>(número do conselho e UF): ______________ Assinatura: _____________________</w:t>
      </w:r>
    </w:p>
    <w:p>
      <w:r>
        <w:rPr>
          <w:sz w:val="24"/>
        </w:rPr>
        <w:t>Apoio à leitura ou intérprete e assinatura se aplicável: ____________________</w:t>
      </w:r>
    </w:p>
    <w:p>
      <w:r>
        <w:rPr>
          <w:sz w:val="18"/>
        </w:rPr>
        <w:t>Referências de apoio para o profissional: R1, R3, R4, R15, R16, R8. Consultar o documento comum Orientações profissionais e referências. O TCLE não substitui a conversa clínica nem as instruções do produto.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50" w:right="1152" w:bottom="936" w:left="1152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CaHA TCLE  |  v1.2  |  27 out 2026  |  Página </w:t>
    </w:r>
    <w:fldSimple w:instr="PAGE"/>
  </w:p>
  <w:p>
    <w:pPr>
      <w:spacing w:before="40" w:after="0"/>
      <w:jc w:val="center"/>
    </w:pPr>
    <w:hyperlink r:id="rId1">
      <w:r>
        <w:rPr>
          <w:sz w:val="16"/>
          <w:color w:val="34483B"/>
        </w:rPr>
        <w:t>CA Academy · Conheça o Método CDM · Formação em toxina botulínica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CA ACADEMY  |  DOCUMENTAÇÃO CLÍNICA</w:t>
    </w:r>
  </w:p>
  <w:p>
    <w:r>
      <w:rPr>
        <w:sz w:val="16"/>
      </w:rPr>
      <w:t>Paciente ou prontuário: _________________________________________________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clinic.com.br/metodo-cdm-curso-online-com-dr-carlos-alexand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livre e esclarecido</dc:title>
  <dc:subject>Documentação clínica em estética facial</dc:subject>
  <dc:creator>CA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cp:version>1.2</cp:version>
</cp:coreProperties>
</file>