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4_PDLL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PDLL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Bioestimulação facial com PDLLA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O PDLLA é um polímero sintético biodegradável com unidades D e L do ácido lático. É utilizado em apresentações injetáveis para estimular remodelamento dos tecidos e produção de colágeno. Algumas formulações contêm ácido hialurônico ou outros componentes. A resposta e as indicações dependem da formulação exata; citar apenas a sigla não identifica o produto.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A face possui regiões com espessuras e mobilidades distintas, vasos e nervos e diferentes volumes de gordura. Essas características influenciam o comportamento do material e a chance de irregularidades. Uma formulação estudada em sulcos não se torna automaticamente indicada para pálpebras, região periocular ou qualquer profundidade.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Pode ser considerado para melhoria de determinadas alterações de qualidade de pele, sulcos ou volume apenas quando a apresentação e as instruções de uso contemplarem a proposta. A concentração e os componentes precisam ser identificados. Este documento não autoriza substituir uma formulação por outra sem novo esclarecimento.</w:t>
      </w:r>
    </w:p>
    <w:p>
      <w:r>
        <w:rPr>
          <w:sz w:val="24"/>
        </w:rPr>
        <w:t>Não equivale a PLLA e não tem resultados, preparo ou cuidados necessariamente iguais. Não é garantia de lifting, tratamento de toda flacidez ou eliminação de cicatrizes e poros. Em formulações combinadas, o componente hidratante ou de volume inicial não representa o efeito final das partículas.</w:t>
      </w:r>
    </w:p>
    <w:p>
      <w:r>
        <w:rPr>
          <w:sz w:val="24"/>
        </w:rPr>
        <w:t>A mudança inicial pode depender de edema e do veículo e não medir a resposta de colágeno. A evolução é progressiva, habitualmente avaliada em semanas a meses. A necessidade de sessões e a duração são específicas do produto e da resposta. Estudos de uma marca ou mistura não garantem o resultado de todas as apresentações de PDLLA.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realizar, adiar ou avaliar cuidados de pele, outras tecnologias, preenchimento ou cirurgia segundo a queixa. Cada alternativa exige análise de seus riscos, duração e reversibilidade.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O controle de desconforto pode envolver medidas locais e, quando indicado, anestésico tópico, local injetável ou presente na formulação. A escolha e os agentes devem ser registrados. Posso sentir picadas, ardor ou pressão mesmo com anestesia. Sedação e anestesia geral não são autorizadas por este termo. Anestésicos podem causar irritação, alergia e toxicidade, inclusive com efeitos neurológicos e cardíacos; vasoconstritores podem causar palpitações. Histórico de doença hepática, interações e reações anteriores precisa ser revisado.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Alergias a PDLLA, ao veículo, ao ácido hialurônico ou ao anestésico da formulação precisam ser verificadas. Reação tardia a implante, queloide, doença autoimune ativa, doença granulomatosa e imunossupressão exigem decisão individual e observância das instruções. Não aplicar em infecção ativa ou sobre material anterior sem esclarecimento adequado.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ardor, edema, vermelhidão, pequenos sangramentos e hematomas. Podem ocorrer pápulas, endurecimento, assimetria, relevo persistente, acúmulo aparente e resultado insatisfatório. A expressão comercial “skin quality” não significa ausência de risco.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Nódulos, granulomas, infecção, abscesso, inflamação tardia e alteração persistente de textura ou contorno podem ocorrer. A conduta exige distinguir reação inflamatória de infecção e de depósito de material; pode haver necessidade de procedimentos ou tratamento prolongado.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A aplicação facial pode comprometer vasos e causar necrose e cicatrizes. Há risco de eventos oculares com perda visual, inclusive permanente, e dano neurológico grave associado ao uso intravascular de materiais. Formulação com pequenas partículas ou aplicação em pequenas quantidades não torna o risco igual a zero.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A hialuronidase não dissolve as partículas de PDLLA. Se a formulação contiver ácido hialurônico, degradar esse componente não elimina o polímero nem garante correção do evento. Não há promessa de reversão rápida ou completa da resposta tecidual. Dissolução e outros tratamentos precisam de diagnóstico e consentimento apropriados.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Alteração súbita de visão, dor nos olhos, dificuldade para falar, fraqueza de um lado do corpo, falta de ar ou inchaço de língua ou garganta exigem emergência imediata. Acione o SAMU 192 ou procure serviço de emergência sem dirigir e sem aguardar resposta da clínica. Avise a equipe em paralelo quando possível, sem atrasar a assistência.</w:t>
      </w:r>
    </w:p>
    <w:p>
      <w:r>
        <w:rPr>
          <w:sz w:val="24"/>
        </w:rPr>
        <w:t>Dor forte ou crescente, pele muito branca, pálida, fria, acinzentada ou com manchas roxas em rede, bolhas e feridas exigem avaliação presencial urgente. Entre em contato imediatamente; se não houver acesso rápido, procure emergência. Comprometimento vascular pode ocorrer sem dor importante. Fotos e mensagens não substituem o atendimento necessário.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Não reproduza automaticamente a massagem recomendada para PLLA ou para outra marca. Faça apenas o cuidado especificamente demonstrado e prescrito para a formulação utilizada. Alteração de cor ou dor crescente exige avaliação antes de qualquer manobra.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Reavaliar resposta e eventos tardios antes de novas sessões. Comparar evolução documentada, sem prometer equivalência entre formulações.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O produto exato precisa ser regularizado na Anvisa, estar dentro da validade e ter origem e integridade verificadas. Registro não autoriza toda região ou finalidade. Devem ser conferidas as indicações, contraindicações e condições da bula ou instruções de uso. Um nome de classe não substitui a apresentação específica.</w:t>
      </w:r>
    </w:p>
    <w:p>
      <w:r>
        <w:rPr>
          <w:sz w:val="24"/>
        </w:rPr>
        <w:t>Nome comercial e apresentação: ____________________________________</w:t>
      </w:r>
    </w:p>
    <w:p>
      <w:r>
        <w:rPr>
          <w:sz w:val="24"/>
        </w:rPr>
        <w:t>Composição e componentes relevantes: ____________________________________</w:t>
      </w:r>
    </w:p>
    <w:p>
      <w:r>
        <w:rPr>
          <w:sz w:val="24"/>
        </w:rPr>
        <w:t>Fabricante ou detentor do registro: ____________________________________</w:t>
      </w:r>
    </w:p>
    <w:p>
      <w:r>
        <w:rPr>
          <w:sz w:val="24"/>
        </w:rPr>
        <w:t>Número de registro Anvisa: ____________________________________</w:t>
      </w:r>
    </w:p>
    <w:p>
      <w:r>
        <w:rPr>
          <w:sz w:val="24"/>
        </w:rPr>
        <w:t>Bula ou instruções consultadas versão e data: ____________________________________</w:t>
      </w:r>
    </w:p>
    <w:p>
      <w:r>
        <w:rPr>
          <w:sz w:val="24"/>
        </w:rPr>
        <w:t>Regiões autorizadas e excluídas: ____________________________________</w:t>
      </w:r>
    </w:p>
    <w:p>
      <w:r>
        <w:rPr>
          <w:sz w:val="24"/>
        </w:rPr>
        <w:t>Quantidade planejada e número estimado de sessões: ____________________________________</w:t>
      </w:r>
    </w:p>
    <w:p>
      <w:r>
        <w:rPr>
          <w:sz w:val="24"/>
        </w:rPr>
        <w:t>Lote e validade verificados antes da aplicação: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o cartão de rastreabilidade será entregue ao paciente e sua cópia mantida no prontuário.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a possibilidade de necrose cegueira e dano permanente.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R1, R3, R4, R13, R14, R9.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PDLLA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