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 w:after="480"/>
      </w:pPr>
      <w:r>
        <w:drawing>
          <wp:inline xmlns:a="http://schemas.openxmlformats.org/drawingml/2006/main" xmlns:pic="http://schemas.openxmlformats.org/drawingml/2006/picture">
            <wp:extent cx="5669280" cy="3779520"/>
            <wp:docPr id="1" name="Picture 1" descr="Capa CA Academy 03_PLL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PLL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79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Modelos editáveis para profissionais da saúde</w:t>
      </w:r>
    </w:p>
    <w:p>
      <w:pPr>
        <w:spacing w:after="360"/>
      </w:pPr>
      <w:r>
        <w:t>Um presente do Prof. Carlos Alexandre para a comunidade CA Academy. Personalize os campos e revise o documento para o seu serviço antes do uso clínico.</w:t>
      </w:r>
    </w:p>
    <w:p>
      <w:pPr>
        <w:spacing w:after="360"/>
      </w:pPr>
      <w:r>
        <w:t>Consentimento informado exige avaliação individual, diálogo e registro. O modelo não substitui esses cuidados.</w:t>
      </w:r>
    </w:p>
    <w:p>
      <w:r>
        <w:br w:type="page"/>
      </w:r>
    </w:p>
    <w:p>
      <w:pPr>
        <w:pStyle w:val="Title"/>
      </w:pPr>
      <w:r>
        <w:t>Termo de consentimento livre e esclarecido</w:t>
      </w:r>
    </w:p>
    <w:p>
      <w:pPr>
        <w:pStyle w:val="Heading1"/>
      </w:pPr>
      <w:r>
        <w:t>Bioestimulação facial com PLLA</w:t>
      </w:r>
    </w:p>
    <w:p>
      <w:r>
        <w:rPr>
          <w:sz w:val="24"/>
        </w:rPr>
        <w:t>Este documento registra o esclarecimento do procedimento proposto, alternativas, limites e riscos. Leia com calma e assine somente após a avaliação e a resposta às suas dúvidas. O plano individual e a identificação do produto ou equipamento fazem parte da decisão.</w:t>
      </w:r>
    </w:p>
    <w:p>
      <w:r>
        <w:rPr>
          <w:sz w:val="24"/>
        </w:rPr>
        <w:t>Paciente: (nome completo) ____________________________________</w:t>
      </w:r>
    </w:p>
    <w:p>
      <w:r>
        <w:rPr>
          <w:sz w:val="24"/>
        </w:rPr>
        <w:t>Data de nascimento: ____/____/______   CPF ou documento: __________________</w:t>
      </w:r>
    </w:p>
    <w:p>
      <w:r>
        <w:rPr>
          <w:sz w:val="24"/>
        </w:rPr>
        <w:t>Endereço: (endereço completo) ________________________________</w:t>
      </w:r>
    </w:p>
    <w:p>
      <w:r>
        <w:rPr>
          <w:sz w:val="24"/>
        </w:rPr>
        <w:t>Profissional: (nome completo) _________________________________</w:t>
      </w:r>
    </w:p>
    <w:p>
      <w:r>
        <w:rPr>
          <w:sz w:val="24"/>
        </w:rPr>
        <w:t>(profissão): __________________   (número do conselho e UF): _________________</w:t>
      </w:r>
    </w:p>
    <w:p>
      <w:r>
        <w:rPr>
          <w:sz w:val="24"/>
        </w:rPr>
        <w:t>Clínica ou serviço: __________________________   CNPJ ou CPF: ______________</w:t>
      </w:r>
    </w:p>
    <w:p>
      <w:r>
        <w:rPr>
          <w:sz w:val="24"/>
        </w:rPr>
        <w:t>Local de atendimento: (endereço completo) ________________________</w:t>
      </w:r>
    </w:p>
    <w:p>
      <w:r>
        <w:rPr>
          <w:sz w:val="24"/>
        </w:rPr>
        <w:t>Contato do serviço: __________________   Urgência fora do horário: ___________</w:t>
      </w:r>
    </w:p>
    <w:p>
      <w:pPr>
        <w:pStyle w:val="Heading1"/>
      </w:pPr>
      <w:r>
        <w:t>1 Procedimento e mecanismo</w:t>
      </w:r>
    </w:p>
    <w:p>
      <w:r>
        <w:rPr>
          <w:sz w:val="24"/>
        </w:rPr>
        <w:t>O PLLA é um polímero sintético biodegradável utilizado em apresentações injetáveis para estimular uma resposta tecidual que pode aumentar a produção de colágeno e melhorar determinadas perdas de sustentação ou volume. O produto não contém colágeno pronto. A composição, os excipientes e as propriedades dependem da apresentação selecionada.</w:t>
      </w:r>
    </w:p>
    <w:p>
      <w:pPr>
        <w:pStyle w:val="Heading1"/>
      </w:pPr>
      <w:r>
        <w:t>2 Anatomia e segurança</w:t>
      </w:r>
    </w:p>
    <w:p>
      <w:r>
        <w:rPr>
          <w:sz w:val="24"/>
        </w:rPr>
        <w:t>A resposta ocorre nos tecidos em que o produto é depositado. Espessura da pele, distribuição da gordura, cicatrizes, vasos e materiais anteriores influenciam a indicação. Regiões finas ou muito móveis podem apresentar maior visibilidade ou palpabilidade de irregularidades. A avaliação define áreas a tratar e a excluir; este termo não autoriza qualquer área da face.</w:t>
      </w:r>
    </w:p>
    <w:p>
      <w:pPr>
        <w:pStyle w:val="Heading1"/>
        <w:pageBreakBefore/>
      </w:pPr>
      <w:r>
        <w:t>3 Indicação limites e evolução esperada</w:t>
      </w:r>
    </w:p>
    <w:p>
      <w:r>
        <w:rPr>
          <w:sz w:val="24"/>
        </w:rPr>
        <w:t>Pode ser indicado em casos selecionados de perda de volume e qualidade dos tecidos, conforme as instruções da apresentação registrada. A necessidade de sessões deve ser justificada e reavaliada. Indicação facial não se estende automaticamente a lábios, pálpebras, nariz ou tratamentos corporais.</w:t>
      </w:r>
    </w:p>
    <w:p>
      <w:r>
        <w:rPr>
          <w:sz w:val="24"/>
        </w:rPr>
        <w:t>Não produz um lifting cirúrgico, não remove excesso de pele e não permite escolher com exatidão a quantidade de colágeno formada. Uma melhora discreta ou desigual pode ocorrer. Flacidez avançada ou necessidade de correção muito precisa pode exigir outra abordagem. Não é intercambiável com PDLLA apenas por pertencer à família dos ácidos poliláticos.</w:t>
      </w:r>
    </w:p>
    <w:p>
      <w:r>
        <w:rPr>
          <w:sz w:val="24"/>
        </w:rPr>
        <w:t>O volume visto imediatamente pode refletir líquido de preparação e edema e pode diminuir antes da resposta gradual. A melhora costuma ser avaliada ao longo de semanas a meses. Número de sessões, intervalos e duração dependem do produto e do caso; não há promessa de um resultado fixo nem obrigação de completar sessões se a reavaliação indicar interrupção.</w:t>
      </w:r>
    </w:p>
    <w:p>
      <w:r>
        <w:rPr>
          <w:sz w:val="24"/>
        </w:rPr>
        <w:t>Minha queixa e objetivo principal: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Melhora considerada possível e limitações explicadas: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2"/>
      </w:pPr>
      <w:r>
        <w:t>Alternativas e possibilidade de não realizar</w:t>
      </w:r>
    </w:p>
    <w:p>
      <w:r>
        <w:rPr>
          <w:sz w:val="24"/>
        </w:rPr>
        <w:t>Não tratar, adiar, considerar cuidados de pele, outras tecnologias ou cirurgia quando apropriada. Preenchedores e outros bioestimuladores têm mecanismos, reversibilidade e riscos próprios, que precisam de avaliação separada.</w:t>
      </w:r>
    </w:p>
    <w:p>
      <w:r>
        <w:rPr>
          <w:sz w:val="24"/>
        </w:rPr>
        <w:t>A recusa desta proposta estética não implica, por si, perda do direito de receber cuidado e esclarecimento. Posso optar por não modificar minha aparência. Fotografias e simulações são ilustrativas e não representam promessa de reprodução de um resultado.</w:t>
      </w:r>
    </w:p>
    <w:p>
      <w:pPr>
        <w:pStyle w:val="Heading2"/>
      </w:pPr>
      <w:r>
        <w:t>Anestesia e controle do desconforto</w:t>
      </w:r>
    </w:p>
    <w:p>
      <w:r>
        <w:rPr>
          <w:sz w:val="24"/>
        </w:rPr>
        <w:t>O controle de desconforto pode envolver medidas locais e, quando indicado, anestésico tópico, local injetável ou presente na formulação. A escolha e os agentes devem ser registrados. Posso sentir picadas, ardor ou pressão mesmo com anestesia. Sedação e anestesia geral não são autorizadas por este termo. Anestésicos podem causar irritação, alergia e toxicidade, inclusive com efeitos neurológicos e cardíacos; vasoconstritores podem causar palpitações. Histórico de doença hepática, interações e reações anteriores precisa ser revisado.</w:t>
      </w:r>
    </w:p>
    <w:p>
      <w:r>
        <w:rPr>
          <w:sz w:val="24"/>
        </w:rPr>
        <w:t>Devo descrever reações à anestesia, inclusive no dentista. Desmaio ou palpitação isolados não confirmam alergia. Suspeita de reação importante pode exigir avaliação antes do procedimento. A ausência de reação em uma ocasião não garante segurança em todas as formulações.</w:t>
      </w:r>
    </w:p>
    <w:p>
      <w:r>
        <w:rPr>
          <w:sz w:val="24"/>
        </w:rPr>
        <w:t>Anestesia ou analgesia proposta e restrições: ________________________</w:t>
      </w:r>
    </w:p>
    <w:p>
      <w:pPr>
        <w:pStyle w:val="Heading1"/>
        <w:pageBreakBefore/>
      </w:pPr>
      <w:r>
        <w:t>4 Contraindicações e condições de saúde</w:t>
      </w:r>
    </w:p>
    <w:p>
      <w:r>
        <w:rPr>
          <w:sz w:val="24"/>
        </w:rPr>
        <w:t>Este conjunto destina-se a adulto capaz de consentir. Alergia conhecida a componente, infecção ou inflamação ativa relevante na área, condição clínica sem esclarecimento, produto ou equipamento irregular e contraindicação nas instruções impedem o início até adequada resolução. Gestação, suspeita de gestação e amamentação são motivos para adiar esta proposta estética eletiva, considerando dados de segurança insuficientes e as instruções aplicáveis.</w:t>
      </w:r>
    </w:p>
    <w:p>
      <w:r>
        <w:rPr>
          <w:sz w:val="24"/>
        </w:rPr>
        <w:t>Doenças autoimunes, diabetes, alterações da coagulação, doenças hepáticas, renais, cardiovasculares, imunossupressão e tratamento oncológico exigem avaliação individual. Não são todas contraindicações absolutas, mas a atividade, o controle, o tratamento e as instruções podem mudar a decisão. Devem ser informados medicamentos, alergias, infecções, cirurgias, procedimentos dentários e estéticos, inclusive antigos.</w:t>
      </w:r>
    </w:p>
    <w:p>
      <w:r>
        <w:rPr>
          <w:sz w:val="24"/>
        </w:rPr>
        <w:t>Predisposição a queloide ou cicatriz hipertrófica deve ser confrontada com as contraindicações do produto escolhido. Doença autoimune ou granulomatosa ativa, imunossupressão, infecção, reação prévia ao material e alterações de cicatrização exigem análise e podem impedir ou adiar a intervenção. Material anterior desconhecido requer esclarecimento.</w:t>
      </w:r>
    </w:p>
    <w:p>
      <w:r>
        <w:rPr>
          <w:sz w:val="24"/>
        </w:rPr>
        <w:t>Condições pessoais e pendências identificadas: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1"/>
      </w:pPr>
      <w:r>
        <w:t>5 Riscos e possíveis complicações</w:t>
      </w:r>
    </w:p>
    <w:p>
      <w:r>
        <w:rPr>
          <w:sz w:val="24"/>
        </w:rPr>
        <w:t>Não é possível prever com exatidão a resposta individual ou calcular uma probabilidade pessoal de complicação neste termo. A avaliação e os cuidados reduzem riscos, sem eliminá-los. A assinatura não comprova inevitabilidade de um evento nem ausência de falha assistencial.</w:t>
      </w:r>
    </w:p>
    <w:p>
      <w:pPr>
        <w:pStyle w:val="Heading2"/>
      </w:pPr>
      <w:r>
        <w:t>Reações locais e resultado</w:t>
      </w:r>
    </w:p>
    <w:p>
      <w:r>
        <w:rPr>
          <w:sz w:val="24"/>
        </w:rPr>
        <w:t>Dor, ardor, sensibilidade, edema, vermelhidão, sangramento e hematoma. Pode haver assimetria, endurecimento, irregularidade ou resposta insuficiente ou excessiva. A aparência inicial pode mudar após a redução do líquido e do edema.</w:t>
      </w:r>
    </w:p>
    <w:p>
      <w:pPr>
        <w:pStyle w:val="Heading2"/>
      </w:pPr>
      <w:r>
        <w:t>Eventos persistentes ou tardios</w:t>
      </w:r>
    </w:p>
    <w:p>
      <w:r>
        <w:rPr>
          <w:sz w:val="24"/>
        </w:rPr>
        <w:t>Pápulas, nódulos palpáveis ou visíveis, granulomas, inflamação prolongada, infecção e alteração persistente do contorno podem aparecer tardiamente e ser de difícil manejo. Alguns eventos exigem tratamento prolongado, procedimentos adicionais ou remoção cirúrgica, sem garantia de eliminação completa.</w:t>
      </w:r>
    </w:p>
    <w:p>
      <w:pPr>
        <w:pStyle w:val="Heading2"/>
      </w:pPr>
      <w:r>
        <w:t>Complicações graves</w:t>
      </w:r>
    </w:p>
    <w:p>
      <w:r>
        <w:rPr>
          <w:sz w:val="24"/>
        </w:rPr>
        <w:t>Como em outros materiais injetados na face, comprometimento vascular pode causar necrose, feridas e cicatrizes. Eventos envolvendo a circulação ocular podem causar cegueira e lesões neurológicas graves. Não ter ácido hialurônico como material principal não elimina o risco vascular. Reações alérgicas graves e internação também são possíveis.</w:t>
      </w:r>
    </w:p>
    <w:p>
      <w:pPr>
        <w:pStyle w:val="Heading1"/>
        <w:pageBreakBefore/>
      </w:pPr>
      <w:r>
        <w:t>6 Limites da reversão e atendimento de intercorrências</w:t>
      </w:r>
    </w:p>
    <w:p>
      <w:r>
        <w:rPr>
          <w:sz w:val="24"/>
        </w:rPr>
        <w:t>A hialuronidase não dissolve as partículas de PLLA e não desfaz o colágeno que se formou. Não há uma enzima de reversão rápida equivalente à dissolução do ácido hialurônico. Tratamentos de intercorrências dependem da causa e podem ser prolongados ou incompletos. Ser biodegradável não significa reversão imediata ou previsível.</w:t>
      </w:r>
    </w:p>
    <w:p>
      <w:r>
        <w:rPr>
          <w:sz w:val="24"/>
        </w:rPr>
        <w:t>Diante de suspeita de complicação, o procedimento pode ser interrompido e o paciente encaminhado para avaliação e tratamento conforme a necessidade. A equipe explicará hipóteses, opções e limites. Tratamentos de emergência observam as regras legais e éticas de proteção à vida e à saúde; não há autorização irrestrita para qualquer intervenção.</w:t>
      </w:r>
    </w:p>
    <w:p>
      <w:pPr>
        <w:pStyle w:val="Heading2"/>
      </w:pPr>
      <w:r>
        <w:t>Sinais de emergência</w:t>
      </w:r>
    </w:p>
    <w:p>
      <w:r>
        <w:rPr>
          <w:sz w:val="24"/>
        </w:rPr>
        <w:t>Alteração súbita de visão, dor nos olhos, dificuldade para falar, fraqueza de um lado do corpo, falta de ar ou inchaço de língua ou garganta exigem emergência imediata. Acione o SAMU 192 ou procure serviço de emergência sem dirigir e sem aguardar resposta da clínica. Avise a equipe em paralelo quando possível, sem atrasar a assistência.</w:t>
      </w:r>
    </w:p>
    <w:p>
      <w:r>
        <w:rPr>
          <w:sz w:val="24"/>
        </w:rPr>
        <w:t>Dor forte ou crescente, pele muito branca, pálida, fria, acinzentada ou com manchas roxas em rede, bolhas e feridas exigem avaliação presencial urgente. Entre em contato imediatamente; se não houver acesso rápido, procure emergência. Comprometimento vascular pode ocorrer sem dor importante. Fotos e mensagens não substituem o atendimento necessário.</w:t>
      </w:r>
    </w:p>
    <w:p>
      <w:r>
        <w:rPr>
          <w:sz w:val="24"/>
        </w:rPr>
        <w:t>Febre, secreção, vermelhidão que se expande, inchaço que piora ou nódulo doloroso também precisam de avaliação rápida. Novos sintomas tardios devem ser informados, mesmo após período sem queixas. Não espere a revisão programada se houver sinal de alerta.</w:t>
      </w:r>
    </w:p>
    <w:p>
      <w:pPr>
        <w:pStyle w:val="Heading2"/>
      </w:pPr>
      <w:r>
        <w:t>Cuidados e acompanhamento</w:t>
      </w:r>
    </w:p>
    <w:p>
      <w:r>
        <w:rPr>
          <w:sz w:val="24"/>
        </w:rPr>
        <w:t>Massagem não é uma regra única para toda apresentação de PLLA. Só faça se o profissional confirmar a indicação nas instruções do produto e demonstrar a técnica, preenchendo frequência e duração. Não massageie dor crescente, pele alterada, ferida ou nódulo sem avaliação.</w:t>
      </w:r>
    </w:p>
    <w:p>
      <w:r>
        <w:rPr>
          <w:sz w:val="24"/>
        </w:rPr>
        <w:t>Receberei guia por escrito com cuidados, retorno e contatos. Devo proteger a região de trauma, manter higiene e seguir as orientações individuais. Não devo iniciar medicamentos para tratar uma possível complicação nem interromper medicamentos prescritos por conta própria. Novas infecções e procedimentos programados devem ser comunicados.</w:t>
      </w:r>
    </w:p>
    <w:p>
      <w:r>
        <w:rPr>
          <w:sz w:val="24"/>
        </w:rPr>
        <w:t>Acompanhamento da evolução gradual e decisão antes de cada sessão. Não interpretar redução do volume imediato como falha nem reaplicar automaticamente.</w:t>
      </w:r>
    </w:p>
    <w:p>
      <w:r>
        <w:rPr>
          <w:sz w:val="24"/>
        </w:rPr>
        <w:t>Referência de urgência e endereço: ______________________________</w:t>
      </w:r>
    </w:p>
    <w:p>
      <w:r>
        <w:rPr>
          <w:sz w:val="24"/>
        </w:rPr>
        <w:t>Contato assistencial fora do horário: ___________________________</w:t>
      </w:r>
    </w:p>
    <w:p>
      <w:pPr>
        <w:pStyle w:val="Heading1"/>
        <w:pageBreakBefore/>
      </w:pPr>
      <w:r>
        <w:t>7 Identificação e plano autorizado</w:t>
      </w:r>
    </w:p>
    <w:p>
      <w:r>
        <w:rPr>
          <w:sz w:val="24"/>
        </w:rPr>
        <w:t>O produto exato precisa ser regularizado na Anvisa, estar dentro da validade e ter origem e integridade verificadas. Registro não autoriza toda região ou finalidade. Devem ser conferidas as indicações, contraindicações e condições da bula ou instruções de uso. Um nome de classe não substitui a apresentação específica.</w:t>
      </w:r>
    </w:p>
    <w:p>
      <w:r>
        <w:rPr>
          <w:sz w:val="24"/>
        </w:rPr>
        <w:t>Nome comercial e apresentação: ____________________________________</w:t>
      </w:r>
    </w:p>
    <w:p>
      <w:r>
        <w:rPr>
          <w:sz w:val="24"/>
        </w:rPr>
        <w:t>Composição e componentes relevantes: ____________________________________</w:t>
      </w:r>
    </w:p>
    <w:p>
      <w:r>
        <w:rPr>
          <w:sz w:val="24"/>
        </w:rPr>
        <w:t>Fabricante ou detentor do registro: ____________________________________</w:t>
      </w:r>
    </w:p>
    <w:p>
      <w:r>
        <w:rPr>
          <w:sz w:val="24"/>
        </w:rPr>
        <w:t>Número de registro Anvisa: ____________________________________</w:t>
      </w:r>
    </w:p>
    <w:p>
      <w:r>
        <w:rPr>
          <w:sz w:val="24"/>
        </w:rPr>
        <w:t>Bula ou instruções consultadas versão e data: ____________________________________</w:t>
      </w:r>
    </w:p>
    <w:p>
      <w:r>
        <w:rPr>
          <w:sz w:val="24"/>
        </w:rPr>
        <w:t>Regiões autorizadas e excluídas: ____________________________________</w:t>
      </w:r>
    </w:p>
    <w:p>
      <w:r>
        <w:rPr>
          <w:sz w:val="24"/>
        </w:rPr>
        <w:t>Quantidade planejada e número estimado de sessões: ____________________________________</w:t>
      </w:r>
    </w:p>
    <w:p>
      <w:r>
        <w:rPr>
          <w:sz w:val="24"/>
        </w:rPr>
        <w:t>Lote e validade verificados antes da aplicação: ____________________________________</w:t>
      </w:r>
    </w:p>
    <w:p>
      <w:r>
        <w:rPr>
          <w:sz w:val="24"/>
        </w:rPr>
        <w:t>Se houver pendência, incompatibilidade ou mudança relevante no plano, não se inicia a intervenção com base neste formulário. A decisão deverá ser esclarecida e reconfirmada após resolução. Os dados efetivamente utilizados e eventuais intercorrências serão registrados no prontuário e o cartão de rastreabilidade será entregue ao paciente e sua cópia mantida no prontuário.</w:t>
      </w:r>
    </w:p>
    <w:p>
      <w:pPr>
        <w:pStyle w:val="Heading2"/>
      </w:pPr>
      <w:r>
        <w:t>Custos e intervenções adicionais</w:t>
      </w:r>
    </w:p>
    <w:p>
      <w:r>
        <w:rPr>
          <w:sz w:val="24"/>
        </w:rPr>
        <w:t>Número de sessões e condições financeiras devem ser esclarecidos em documento próprio. Sessões adicionais, associações, correções eletivas e mudança relevante de produto ou plano exigem nova avaliação e esclarecimento. Nenhuma autorização genérica de “retoque” substitui esse processo. Atendimento urgente não deve ser condicionado à assinatura de novo contrato.</w:t>
      </w:r>
    </w:p>
    <w:p>
      <w:pPr>
        <w:pStyle w:val="Heading1"/>
        <w:pageBreakBefore/>
      </w:pPr>
      <w:r>
        <w:t>8 Autonomia privacidade e decisão</w:t>
      </w:r>
    </w:p>
    <w:p>
      <w:r>
        <w:rPr>
          <w:sz w:val="24"/>
        </w:rPr>
        <w:t>A decisão é voluntária. Posso pedir explicações, tempo e segunda opinião, recusar ou retirar o consentimento antes da intervenção e solicitar interrupção durante o atendimento, respeitadas as medidas de segurança. Receberei cópia do termo. Variabilidade de resultado não elimina deveres profissionais. Este documento não contém renúncia a direitos, quitação geral, exclusão de responsabilidade ou transferência automática de culpa e custos ao paciente.</w:t>
      </w:r>
    </w:p>
    <w:p>
      <w:r>
        <w:rPr>
          <w:sz w:val="24"/>
        </w:rPr>
        <w:t>Dados de saúde e registros clínicos serão tratados com sigilo e finalidade assistencial, segundo as bases legais aplicáveis, com acesso e compartilhamento limitados ao necessário. O canal do serviço permite solicitar informações e exercer direitos. Publicidade, redes sociais e ensino identificável dependem de autorização separada; este consentimento não autoriza divulgação de imagens.</w:t>
      </w:r>
    </w:p>
    <w:p>
      <w:r>
        <w:rPr>
          <w:sz w:val="24"/>
        </w:rPr>
        <w:t>Paciente e prontuário: ________________________________________</w:t>
      </w:r>
    </w:p>
    <w:p>
      <w:r>
        <w:rPr>
          <w:sz w:val="24"/>
        </w:rPr>
        <w:t>Riscos particulares e esclarecimentos adicionais: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[ ] Expliquei com minhas palavras o objetivo e os limites do tratamento.</w:t>
      </w:r>
    </w:p>
    <w:p>
      <w:r>
        <w:rPr>
          <w:sz w:val="24"/>
        </w:rPr>
        <w:t>[ ] Entendi a possibilidade de necrose cegueira e dano permanente.</w:t>
      </w:r>
    </w:p>
    <w:p>
      <w:r>
        <w:rPr>
          <w:sz w:val="24"/>
        </w:rPr>
        <w:t>[ ] Sei como agir se houver sinais de alerta e tenho contatos assistenciais.</w:t>
      </w:r>
    </w:p>
    <w:p>
      <w:r>
        <w:rPr>
          <w:sz w:val="24"/>
        </w:rPr>
        <w:t>[ ] Tive oportunidade de perguntar e recebi respostas compreensíveis.</w:t>
      </w:r>
    </w:p>
    <w:p>
      <w:r>
        <w:rPr>
          <w:sz w:val="24"/>
        </w:rPr>
        <w:t>Minha decisão: [ ] Consinto com o plano descrito  [ ] Adio  [ ] Não consinto</w:t>
      </w:r>
    </w:p>
    <w:p>
      <w:r>
        <w:rPr>
          <w:sz w:val="24"/>
        </w:rPr>
        <w:t>Local: __________________ Data: ____/____/______ Hora: ___________________</w:t>
      </w:r>
    </w:p>
    <w:p>
      <w:r>
        <w:rPr>
          <w:sz w:val="24"/>
        </w:rPr>
        <w:t>Assinatura do paciente ou representante: ________________________</w:t>
      </w:r>
    </w:p>
    <w:p>
      <w:r>
        <w:rPr>
          <w:sz w:val="24"/>
        </w:rPr>
        <w:t>Representante se necessário nome documento e fundamento: __________________</w:t>
      </w:r>
    </w:p>
    <w:p>
      <w:r>
        <w:rPr>
          <w:sz w:val="24"/>
        </w:rPr>
        <w:t>Declaração profissional: realizei a avaliação e expliquei o plano, alternativas, benefícios possíveis, riscos e cuidados em linguagem acessível, sem promessa de resultado. Esclareci dúvidas e registrei os aspectos individuais no prontuário.</w:t>
      </w:r>
    </w:p>
    <w:p>
      <w:r>
        <w:rPr>
          <w:sz w:val="24"/>
        </w:rPr>
        <w:t>Profissional: (nome) ____________________ (profissão) _____________________</w:t>
      </w:r>
    </w:p>
    <w:p>
      <w:r>
        <w:rPr>
          <w:sz w:val="24"/>
        </w:rPr>
        <w:t>(número do conselho e UF): ______________ Assinatura: _____________________</w:t>
      </w:r>
    </w:p>
    <w:p>
      <w:r>
        <w:rPr>
          <w:sz w:val="24"/>
        </w:rPr>
        <w:t>Apoio à leitura ou intérprete e assinatura se aplicável: ____________________</w:t>
      </w:r>
    </w:p>
    <w:p>
      <w:r>
        <w:rPr>
          <w:sz w:val="18"/>
        </w:rPr>
        <w:t>Referências de apoio para o profissional: R1, R3, R4, R11, R12, R9. Consultar o documento comum Orientações profissionais e referências. O TCLE não substitui a conversa clínica nem as instruções do produto.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PLLA TCLE  |  v1.2  |  27 out 2026  |  Página </w:t>
    </w:r>
    <w:fldSimple w:instr="PAGE"/>
  </w:p>
  <w:p>
    <w:pPr>
      <w:spacing w:before="40" w:after="0"/>
      <w:jc w:val="center"/>
    </w:pPr>
    <w:hyperlink r:id="rId1">
      <w:r>
        <w:rPr>
          <w:sz w:val="16"/>
          <w:color w:val="34483B"/>
        </w:rPr>
        <w:t>CA Academy · Conheça o Método CDM · Formação em toxina botulínica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 ACADEMY  |  DOCUMENTAÇÃO CLÍNICA</w:t>
    </w:r>
  </w:p>
  <w:p>
    <w:r>
      <w:rPr>
        <w:sz w:val="16"/>
      </w:rPr>
      <w:t>Paciente ou prontuário: 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clinic.com.br/metodo-cdm-curso-online-com-dr-carlos-alexand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subject>Documentação clínica em estética facial</dc:subject>
  <dc:creator>CA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1.2</cp:version>
</cp:coreProperties>
</file>